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7"/>
        <w:gridCol w:w="248"/>
      </w:tblGrid>
      <w:tr w:rsidR="00DE24AB" w:rsidRPr="00BD565A" w:rsidTr="00F92D4A">
        <w:tc>
          <w:tcPr>
            <w:tcW w:w="10881" w:type="dxa"/>
          </w:tcPr>
          <w:p w:rsidR="00F92D4A" w:rsidRPr="00C2039A" w:rsidRDefault="00F92D4A" w:rsidP="00F92D4A">
            <w:pPr>
              <w:ind w:left="6521"/>
              <w:jc w:val="both"/>
              <w:rPr>
                <w:b/>
              </w:rPr>
            </w:pPr>
            <w:r w:rsidRPr="00C2039A">
              <w:rPr>
                <w:b/>
              </w:rPr>
              <w:t xml:space="preserve">Додаток № </w:t>
            </w:r>
            <w:r w:rsidRPr="00C2039A">
              <w:rPr>
                <w:b/>
                <w:lang w:val="ru-RU"/>
              </w:rPr>
              <w:t>2</w:t>
            </w:r>
            <w:r w:rsidRPr="00C2039A">
              <w:rPr>
                <w:b/>
              </w:rPr>
              <w:t xml:space="preserve"> до договору постачання електричної енергії споживачу </w:t>
            </w:r>
            <w:r w:rsidRPr="00C2039A">
              <w:rPr>
                <w:b/>
                <w:sz w:val="24"/>
                <w:szCs w:val="24"/>
              </w:rPr>
              <w:t xml:space="preserve"> </w:t>
            </w:r>
            <w:r w:rsidRPr="00C2039A">
              <w:rPr>
                <w:b/>
              </w:rPr>
              <w:t>«Комерційні умови постачання електроенергії споживачу»</w:t>
            </w:r>
          </w:p>
          <w:p w:rsidR="00DE24AB" w:rsidRPr="00500D86" w:rsidRDefault="00DE24AB" w:rsidP="00FA431F">
            <w:pPr>
              <w:pStyle w:val="a3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0" w:type="dxa"/>
          </w:tcPr>
          <w:p w:rsidR="00DE24AB" w:rsidRDefault="00DE24AB" w:rsidP="00867583">
            <w:pPr>
              <w:jc w:val="right"/>
            </w:pPr>
          </w:p>
          <w:p w:rsidR="00F255DC" w:rsidRPr="00BD565A" w:rsidRDefault="00F255DC" w:rsidP="00867583">
            <w:pPr>
              <w:jc w:val="right"/>
            </w:pPr>
          </w:p>
        </w:tc>
      </w:tr>
    </w:tbl>
    <w:p w:rsidR="008E1E57" w:rsidRDefault="00FA431F" w:rsidP="00CA2D33">
      <w:pPr>
        <w:pStyle w:val="a3"/>
        <w:ind w:left="0"/>
        <w:jc w:val="center"/>
        <w:rPr>
          <w:b/>
        </w:rPr>
      </w:pPr>
      <w:r w:rsidRPr="00F92D4A">
        <w:rPr>
          <w:b/>
        </w:rPr>
        <w:t>Комерційна пропозиція</w:t>
      </w:r>
      <w:r w:rsidR="00F255DC" w:rsidRPr="00F92D4A">
        <w:rPr>
          <w:b/>
        </w:rPr>
        <w:t xml:space="preserve"> </w:t>
      </w:r>
    </w:p>
    <w:p w:rsidR="00744FCB" w:rsidRPr="00744FCB" w:rsidRDefault="00744FCB" w:rsidP="00CA2D33">
      <w:pPr>
        <w:pStyle w:val="a3"/>
        <w:ind w:left="0"/>
        <w:jc w:val="center"/>
        <w:rPr>
          <w:b/>
        </w:rPr>
      </w:pPr>
      <w:r>
        <w:rPr>
          <w:b/>
        </w:rPr>
        <w:t xml:space="preserve">На </w:t>
      </w:r>
      <w:r w:rsidR="00792D37">
        <w:rPr>
          <w:b/>
        </w:rPr>
        <w:t>2025</w:t>
      </w:r>
      <w:r w:rsidR="009C6C18">
        <w:rPr>
          <w:b/>
        </w:rPr>
        <w:t xml:space="preserve"> рік</w:t>
      </w:r>
    </w:p>
    <w:p w:rsidR="00FA431F" w:rsidRPr="00F92D4A" w:rsidRDefault="00FA431F" w:rsidP="00CA2D33">
      <w:pPr>
        <w:ind w:left="1713" w:right="1761"/>
        <w:jc w:val="center"/>
      </w:pPr>
      <w:r w:rsidRPr="00F92D4A">
        <w:t>Постачальника електричної енергії: ТОВ «ВІТО ЕНЕРДЖИ»</w:t>
      </w:r>
    </w:p>
    <w:p w:rsidR="00FA431F" w:rsidRPr="00F92D4A" w:rsidRDefault="00FA431F" w:rsidP="00CA2D33">
      <w:pPr>
        <w:spacing w:before="1"/>
        <w:ind w:left="1713" w:right="1755"/>
        <w:jc w:val="center"/>
        <w:rPr>
          <w:lang w:val="ru-RU"/>
        </w:rPr>
      </w:pPr>
      <w:r w:rsidRPr="00F92D4A">
        <w:t>(основні критерії комерційних умов постачання електроенергії)</w:t>
      </w:r>
    </w:p>
    <w:p w:rsidR="00564663" w:rsidRPr="00F92D4A" w:rsidRDefault="00564663" w:rsidP="00564663">
      <w:pPr>
        <w:spacing w:before="1"/>
        <w:ind w:left="1713" w:right="1755"/>
        <w:jc w:val="center"/>
        <w:rPr>
          <w:lang w:val="ru-RU"/>
        </w:rPr>
      </w:pPr>
    </w:p>
    <w:p w:rsidR="00564663" w:rsidRPr="00F92D4A" w:rsidRDefault="00564663" w:rsidP="00564663">
      <w:pPr>
        <w:pStyle w:val="2"/>
        <w:numPr>
          <w:ilvl w:val="0"/>
          <w:numId w:val="1"/>
        </w:numPr>
        <w:tabs>
          <w:tab w:val="left" w:pos="335"/>
        </w:tabs>
        <w:spacing w:before="0"/>
        <w:ind w:hanging="222"/>
      </w:pPr>
      <w:r w:rsidRPr="00F92D4A">
        <w:t>Застосовується у сукупності таких</w:t>
      </w:r>
      <w:r w:rsidRPr="00F92D4A">
        <w:rPr>
          <w:lang w:val="ru-RU"/>
        </w:rPr>
        <w:t xml:space="preserve"> </w:t>
      </w:r>
      <w:r w:rsidRPr="00F92D4A">
        <w:t>умов:</w:t>
      </w:r>
    </w:p>
    <w:p w:rsidR="00564663" w:rsidRDefault="00564663" w:rsidP="00564663">
      <w:pPr>
        <w:pStyle w:val="a4"/>
        <w:numPr>
          <w:ilvl w:val="1"/>
          <w:numId w:val="1"/>
        </w:numPr>
        <w:tabs>
          <w:tab w:val="left" w:pos="542"/>
        </w:tabs>
        <w:spacing w:before="42"/>
        <w:ind w:hanging="429"/>
      </w:pPr>
      <w:r w:rsidRPr="00F92D4A">
        <w:t>Споживач не є побутовим.</w:t>
      </w:r>
    </w:p>
    <w:p w:rsidR="005561A8" w:rsidRDefault="005561A8" w:rsidP="00564663">
      <w:pPr>
        <w:pStyle w:val="a4"/>
        <w:numPr>
          <w:ilvl w:val="1"/>
          <w:numId w:val="1"/>
        </w:numPr>
        <w:tabs>
          <w:tab w:val="left" w:pos="542"/>
        </w:tabs>
        <w:spacing w:before="42"/>
        <w:ind w:hanging="429"/>
      </w:pPr>
      <w:r w:rsidRPr="005561A8">
        <w:t>Постачальник здійснює постачання електричної енергії захищеним споживачам відповідно до вимог чинного законодавства України</w:t>
      </w:r>
      <w:bookmarkStart w:id="0" w:name="_GoBack"/>
      <w:bookmarkEnd w:id="0"/>
    </w:p>
    <w:p w:rsidR="00564663" w:rsidRPr="00F92D4A" w:rsidRDefault="00564663" w:rsidP="00564663">
      <w:pPr>
        <w:pStyle w:val="a4"/>
        <w:numPr>
          <w:ilvl w:val="1"/>
          <w:numId w:val="1"/>
        </w:numPr>
        <w:tabs>
          <w:tab w:val="left" w:pos="542"/>
        </w:tabs>
        <w:spacing w:before="42"/>
        <w:ind w:hanging="429"/>
      </w:pPr>
      <w:r>
        <w:t>Територія постачання - ОЕС України.</w:t>
      </w:r>
    </w:p>
    <w:p w:rsidR="00564663" w:rsidRPr="00F92D4A" w:rsidRDefault="00564663" w:rsidP="00564663">
      <w:pPr>
        <w:pStyle w:val="a4"/>
        <w:numPr>
          <w:ilvl w:val="1"/>
          <w:numId w:val="1"/>
        </w:numPr>
        <w:tabs>
          <w:tab w:val="left" w:pos="542"/>
        </w:tabs>
        <w:ind w:hanging="429"/>
      </w:pPr>
      <w:r w:rsidRPr="00F92D4A">
        <w:t>Споживач самостійно оплачує послуги з розподілу електричної енергії відповідному</w:t>
      </w:r>
      <w:r w:rsidRPr="00F92D4A">
        <w:rPr>
          <w:lang w:val="ru-RU"/>
        </w:rPr>
        <w:t xml:space="preserve"> </w:t>
      </w:r>
      <w:r w:rsidRPr="00F92D4A">
        <w:t>ОСР.</w:t>
      </w:r>
    </w:p>
    <w:p w:rsidR="00564663" w:rsidRPr="00F92D4A" w:rsidRDefault="00564663" w:rsidP="00564663">
      <w:pPr>
        <w:pStyle w:val="a4"/>
        <w:numPr>
          <w:ilvl w:val="1"/>
          <w:numId w:val="1"/>
        </w:numPr>
        <w:tabs>
          <w:tab w:val="left" w:pos="542"/>
        </w:tabs>
        <w:ind w:hanging="429"/>
      </w:pPr>
      <w:r w:rsidRPr="00F92D4A">
        <w:t>Постачальник самостійно оплачує послуги з передачі електричної енергії відповідному</w:t>
      </w:r>
      <w:r w:rsidRPr="00F92D4A">
        <w:rPr>
          <w:lang w:val="ru-RU"/>
        </w:rPr>
        <w:t xml:space="preserve"> </w:t>
      </w:r>
      <w:r w:rsidRPr="00F92D4A">
        <w:t>ОСП.</w:t>
      </w:r>
    </w:p>
    <w:p w:rsidR="00564663" w:rsidRPr="00F92D4A" w:rsidRDefault="00564663" w:rsidP="00564663">
      <w:pPr>
        <w:pStyle w:val="a4"/>
        <w:numPr>
          <w:ilvl w:val="1"/>
          <w:numId w:val="1"/>
        </w:numPr>
        <w:tabs>
          <w:tab w:val="left" w:pos="542"/>
        </w:tabs>
        <w:ind w:hanging="429"/>
      </w:pPr>
      <w:r w:rsidRPr="00F92D4A">
        <w:t>Ця</w:t>
      </w:r>
      <w:r w:rsidRPr="00F92D4A">
        <w:rPr>
          <w:lang w:val="ru-RU"/>
        </w:rPr>
        <w:t xml:space="preserve"> </w:t>
      </w:r>
      <w:r w:rsidRPr="00F92D4A">
        <w:t>комерційна</w:t>
      </w:r>
      <w:r w:rsidRPr="00F92D4A">
        <w:rPr>
          <w:lang w:val="ru-RU"/>
        </w:rPr>
        <w:t xml:space="preserve"> </w:t>
      </w:r>
      <w:r w:rsidRPr="00F92D4A">
        <w:t>пропозиція</w:t>
      </w:r>
      <w:r w:rsidRPr="00F92D4A">
        <w:rPr>
          <w:lang w:val="ru-RU"/>
        </w:rPr>
        <w:t xml:space="preserve"> </w:t>
      </w:r>
      <w:r w:rsidRPr="00F92D4A">
        <w:t>оформлюється</w:t>
      </w:r>
      <w:r w:rsidRPr="00F92D4A">
        <w:rPr>
          <w:lang w:val="ru-RU"/>
        </w:rPr>
        <w:t xml:space="preserve"> </w:t>
      </w:r>
      <w:r w:rsidRPr="00F92D4A">
        <w:t>сторонами</w:t>
      </w:r>
      <w:r w:rsidRPr="00F92D4A">
        <w:rPr>
          <w:lang w:val="ru-RU"/>
        </w:rPr>
        <w:t xml:space="preserve"> </w:t>
      </w:r>
      <w:r w:rsidRPr="00F92D4A">
        <w:t>в</w:t>
      </w:r>
      <w:r w:rsidRPr="00F92D4A">
        <w:rPr>
          <w:lang w:val="ru-RU"/>
        </w:rPr>
        <w:t xml:space="preserve"> </w:t>
      </w:r>
      <w:r w:rsidRPr="00F92D4A">
        <w:t>письмовій</w:t>
      </w:r>
      <w:r w:rsidRPr="00F92D4A">
        <w:rPr>
          <w:lang w:val="ru-RU"/>
        </w:rPr>
        <w:t xml:space="preserve"> </w:t>
      </w:r>
      <w:r w:rsidRPr="00F92D4A">
        <w:t>формі</w:t>
      </w:r>
      <w:r w:rsidRPr="00F92D4A">
        <w:rPr>
          <w:lang w:val="ru-RU"/>
        </w:rPr>
        <w:t xml:space="preserve"> </w:t>
      </w:r>
      <w:r w:rsidRPr="00F92D4A">
        <w:t>у</w:t>
      </w:r>
      <w:r w:rsidRPr="00F92D4A">
        <w:rPr>
          <w:lang w:val="ru-RU"/>
        </w:rPr>
        <w:t xml:space="preserve"> </w:t>
      </w:r>
      <w:r w:rsidRPr="00F92D4A">
        <w:t>вигляді</w:t>
      </w:r>
      <w:r w:rsidRPr="00F92D4A">
        <w:rPr>
          <w:lang w:val="ru-RU"/>
        </w:rPr>
        <w:t xml:space="preserve"> </w:t>
      </w:r>
      <w:r>
        <w:t>Додатку№2</w:t>
      </w:r>
    </w:p>
    <w:p w:rsidR="00564663" w:rsidRDefault="00564663" w:rsidP="00564663">
      <w:pPr>
        <w:spacing w:before="1"/>
        <w:ind w:left="541"/>
      </w:pPr>
      <w:r w:rsidRPr="00F92D4A">
        <w:t>«</w:t>
      </w:r>
      <w:r w:rsidRPr="00F92D4A">
        <w:rPr>
          <w:i/>
        </w:rPr>
        <w:t>Комерційні умови постачання електричної енергії споживачу</w:t>
      </w:r>
      <w:r w:rsidRPr="00F92D4A">
        <w:t>» до договору поста</w:t>
      </w:r>
      <w:r>
        <w:t>чання</w:t>
      </w:r>
      <w:r w:rsidRPr="00F92D4A">
        <w:t>.</w:t>
      </w:r>
    </w:p>
    <w:p w:rsidR="00564663" w:rsidRPr="00F92D4A" w:rsidRDefault="00564663" w:rsidP="00564663">
      <w:pPr>
        <w:pStyle w:val="2"/>
        <w:numPr>
          <w:ilvl w:val="0"/>
          <w:numId w:val="1"/>
        </w:numPr>
        <w:tabs>
          <w:tab w:val="left" w:pos="335"/>
        </w:tabs>
        <w:ind w:hanging="222"/>
      </w:pPr>
      <w:r w:rsidRPr="00F92D4A">
        <w:t>Ціна і умови оплати за</w:t>
      </w:r>
      <w:r w:rsidRPr="00F92D4A">
        <w:rPr>
          <w:lang w:val="ru-RU"/>
        </w:rPr>
        <w:t xml:space="preserve"> </w:t>
      </w:r>
      <w:r w:rsidRPr="00F92D4A">
        <w:t>електроенергію:</w:t>
      </w:r>
    </w:p>
    <w:p w:rsidR="00564663" w:rsidRPr="00F92D4A" w:rsidRDefault="00564663" w:rsidP="00564663">
      <w:pPr>
        <w:pStyle w:val="a4"/>
        <w:numPr>
          <w:ilvl w:val="1"/>
          <w:numId w:val="1"/>
        </w:numPr>
        <w:tabs>
          <w:tab w:val="left" w:pos="500"/>
        </w:tabs>
        <w:spacing w:before="92"/>
        <w:ind w:left="113" w:firstLine="0"/>
      </w:pPr>
      <w:r w:rsidRPr="00F92D4A">
        <w:t>Вартість електроенергії для Споживача за розрахунковий період (місяць) визначається на рівні</w:t>
      </w:r>
      <w:r>
        <w:t xml:space="preserve"> 10 000 (</w:t>
      </w:r>
      <w:r w:rsidRPr="00744FCB">
        <w:t>Десять тисяч гривень 00 копійок</w:t>
      </w:r>
      <w:r>
        <w:t xml:space="preserve">) грн./МВт*год </w:t>
      </w:r>
      <w:r w:rsidRPr="00A27BA8">
        <w:t>без ПДВ</w:t>
      </w:r>
      <w:r>
        <w:t>.</w:t>
      </w:r>
      <w:r w:rsidRPr="00F92D4A">
        <w:t xml:space="preserve"> </w:t>
      </w:r>
      <w:r>
        <w:t>Вартість включає</w:t>
      </w:r>
      <w:r w:rsidRPr="00F92D4A">
        <w:t xml:space="preserve"> ве</w:t>
      </w:r>
      <w:r>
        <w:t>личину винагороди Постачальника та не враховує тариф на передачу та розподіл</w:t>
      </w:r>
      <w:r w:rsidRPr="00B436B8">
        <w:rPr>
          <w:lang w:val="ru-RU"/>
        </w:rPr>
        <w:t xml:space="preserve"> </w:t>
      </w:r>
      <w:proofErr w:type="spellStart"/>
      <w:r w:rsidRPr="00B436B8">
        <w:rPr>
          <w:lang w:val="ru-RU"/>
        </w:rPr>
        <w:t>електричної</w:t>
      </w:r>
      <w:proofErr w:type="spellEnd"/>
      <w:r w:rsidRPr="00B436B8">
        <w:rPr>
          <w:lang w:val="ru-RU"/>
        </w:rPr>
        <w:t xml:space="preserve"> </w:t>
      </w:r>
      <w:proofErr w:type="spellStart"/>
      <w:r w:rsidRPr="00B436B8">
        <w:rPr>
          <w:lang w:val="ru-RU"/>
        </w:rPr>
        <w:t>енергії</w:t>
      </w:r>
      <w:proofErr w:type="spellEnd"/>
      <w:r w:rsidRPr="00B436B8">
        <w:rPr>
          <w:lang w:val="ru-RU"/>
        </w:rPr>
        <w:t>.</w:t>
      </w:r>
      <w:r>
        <w:t xml:space="preserve"> </w:t>
      </w:r>
    </w:p>
    <w:p w:rsidR="00564663" w:rsidRDefault="00564663" w:rsidP="00564663">
      <w:pPr>
        <w:pStyle w:val="a4"/>
        <w:numPr>
          <w:ilvl w:val="1"/>
          <w:numId w:val="1"/>
        </w:numPr>
        <w:tabs>
          <w:tab w:val="left" w:pos="500"/>
        </w:tabs>
        <w:spacing w:before="92"/>
        <w:ind w:left="500" w:hanging="387"/>
      </w:pPr>
      <w:r w:rsidRPr="00F92D4A">
        <w:t>Величина винагороди* Постачальника (ТОВ «</w:t>
      </w:r>
      <w:r w:rsidRPr="00F92D4A">
        <w:rPr>
          <w:lang w:val="ru-RU"/>
        </w:rPr>
        <w:t>В</w:t>
      </w:r>
      <w:r>
        <w:t>ІТО ЕНЕРДЖИ») становить 10 %.</w:t>
      </w:r>
    </w:p>
    <w:p w:rsidR="00564663" w:rsidRPr="0005408A" w:rsidRDefault="00564663" w:rsidP="00564663">
      <w:pPr>
        <w:widowControl/>
        <w:numPr>
          <w:ilvl w:val="1"/>
          <w:numId w:val="1"/>
        </w:numPr>
        <w:tabs>
          <w:tab w:val="left" w:pos="542"/>
        </w:tabs>
        <w:suppressAutoHyphens/>
        <w:autoSpaceDE/>
        <w:autoSpaceDN/>
        <w:ind w:left="113" w:firstLine="0"/>
        <w:jc w:val="both"/>
        <w:rPr>
          <w:color w:val="00000A"/>
        </w:rPr>
      </w:pPr>
      <w:r w:rsidRPr="0005408A">
        <w:rPr>
          <w:color w:val="00000A"/>
        </w:rPr>
        <w:t>Оплата електричної енергії здійснюється Споживачем за фактично спожиту електричну енергію на підставі Акту приймання-передачі підписаного Сторонами та скріпленого печатками Сторін  та рахунку на оплату, який Постачальник надає Споживачу  за підсумками розрахункового місяця не пізніше 5- го робочого дня з дати отримання даних від Оператора системи розподілу про обсяги спожитої (розподіленої) електричної енергії Постачальника.</w:t>
      </w:r>
    </w:p>
    <w:p w:rsidR="00564663" w:rsidRPr="00483AFF" w:rsidRDefault="00564663" w:rsidP="00564663">
      <w:pPr>
        <w:pStyle w:val="a4"/>
        <w:numPr>
          <w:ilvl w:val="1"/>
          <w:numId w:val="1"/>
        </w:numPr>
        <w:tabs>
          <w:tab w:val="left" w:pos="500"/>
        </w:tabs>
        <w:spacing w:before="92"/>
        <w:ind w:left="113" w:firstLine="0"/>
      </w:pPr>
      <w:r w:rsidRPr="0005408A">
        <w:rPr>
          <w:color w:val="000000"/>
          <w:lang w:bidi="ar-SA"/>
        </w:rPr>
        <w:t>Оплата</w:t>
      </w:r>
      <w:r>
        <w:rPr>
          <w:color w:val="000000"/>
          <w:lang w:bidi="ar-SA"/>
        </w:rPr>
        <w:t xml:space="preserve"> споживачем рахунку має бути здійснена банківським переказом на рахунок зі спеціальним режимом використання</w:t>
      </w:r>
      <w:r w:rsidRPr="0005408A">
        <w:rPr>
          <w:color w:val="000000"/>
          <w:lang w:bidi="ar-SA"/>
        </w:rPr>
        <w:t xml:space="preserve"> Постачальни</w:t>
      </w:r>
      <w:r>
        <w:rPr>
          <w:color w:val="000000"/>
          <w:lang w:bidi="ar-SA"/>
        </w:rPr>
        <w:t>ка</w:t>
      </w:r>
      <w:r w:rsidRPr="0005408A">
        <w:rPr>
          <w:color w:val="000000"/>
          <w:lang w:bidi="ar-SA"/>
        </w:rPr>
        <w:t xml:space="preserve"> у строки не більше 20 робочих днів від дати його отримання Споживачем</w:t>
      </w:r>
      <w:r>
        <w:rPr>
          <w:color w:val="000000"/>
          <w:lang w:bidi="ar-SA"/>
        </w:rPr>
        <w:t>.</w:t>
      </w:r>
    </w:p>
    <w:p w:rsidR="00564663" w:rsidRPr="00F92D4A" w:rsidRDefault="00564663" w:rsidP="00564663">
      <w:pPr>
        <w:pStyle w:val="2"/>
        <w:numPr>
          <w:ilvl w:val="0"/>
          <w:numId w:val="1"/>
        </w:numPr>
        <w:tabs>
          <w:tab w:val="left" w:pos="335"/>
        </w:tabs>
        <w:ind w:hanging="222"/>
      </w:pPr>
      <w:r w:rsidRPr="00F92D4A">
        <w:t>Обсяги</w:t>
      </w:r>
      <w:r w:rsidRPr="00F92D4A">
        <w:rPr>
          <w:lang w:val="en-US"/>
        </w:rPr>
        <w:t xml:space="preserve"> </w:t>
      </w:r>
      <w:r w:rsidRPr="00F92D4A">
        <w:t>електроенергії:</w:t>
      </w:r>
    </w:p>
    <w:p w:rsidR="00564663" w:rsidRPr="00F92D4A" w:rsidRDefault="00564663" w:rsidP="00564663">
      <w:pPr>
        <w:pStyle w:val="a4"/>
        <w:numPr>
          <w:ilvl w:val="1"/>
          <w:numId w:val="1"/>
        </w:numPr>
        <w:tabs>
          <w:tab w:val="left" w:pos="573"/>
        </w:tabs>
        <w:spacing w:before="43"/>
        <w:ind w:left="113" w:right="159" w:firstLine="0"/>
      </w:pPr>
      <w:r w:rsidRPr="00F92D4A">
        <w:t>До початку місяця постачання електроенергії сторони узгоджують місячну заявку споживання електроенергії у розрізі календарного місяця.</w:t>
      </w:r>
    </w:p>
    <w:p w:rsidR="00564663" w:rsidRPr="00F92D4A" w:rsidRDefault="00564663" w:rsidP="00564663">
      <w:pPr>
        <w:pStyle w:val="a3"/>
        <w:numPr>
          <w:ilvl w:val="1"/>
          <w:numId w:val="1"/>
        </w:numPr>
        <w:tabs>
          <w:tab w:val="left" w:pos="567"/>
        </w:tabs>
        <w:ind w:left="113" w:firstLine="0"/>
        <w:rPr>
          <w:lang w:val="ru-RU"/>
        </w:rPr>
      </w:pPr>
      <w:r w:rsidRPr="00F92D4A">
        <w:t xml:space="preserve">Заявка надсилається Споживачем на електронну адресу Постачальника: </w:t>
      </w:r>
      <w:hyperlink r:id="rId7" w:history="1">
        <w:r w:rsidR="00225B16" w:rsidRPr="00792D37">
          <w:rPr>
            <w:rStyle w:val="a5"/>
            <w:color w:val="auto"/>
            <w:lang w:val="en-US"/>
          </w:rPr>
          <w:t>vitoenergy</w:t>
        </w:r>
        <w:r w:rsidR="00225B16" w:rsidRPr="00792D37">
          <w:rPr>
            <w:rStyle w:val="a5"/>
            <w:color w:val="auto"/>
            <w:lang w:val="ru-RU"/>
          </w:rPr>
          <w:t>2@</w:t>
        </w:r>
        <w:r w:rsidR="00225B16" w:rsidRPr="00792D37">
          <w:rPr>
            <w:rStyle w:val="a5"/>
            <w:color w:val="auto"/>
            <w:lang w:val="en-US"/>
          </w:rPr>
          <w:t>gmail</w:t>
        </w:r>
        <w:r w:rsidR="00225B16" w:rsidRPr="00792D37">
          <w:rPr>
            <w:rStyle w:val="a5"/>
            <w:color w:val="auto"/>
            <w:lang w:val="ru-RU"/>
          </w:rPr>
          <w:t>.</w:t>
        </w:r>
        <w:r w:rsidR="00225B16" w:rsidRPr="00792D37">
          <w:rPr>
            <w:rStyle w:val="a5"/>
            <w:color w:val="auto"/>
            <w:lang w:val="en-US"/>
          </w:rPr>
          <w:t>com</w:t>
        </w:r>
      </w:hyperlink>
      <w:r w:rsidR="00225B16" w:rsidRPr="00792D37">
        <w:t xml:space="preserve"> </w:t>
      </w:r>
    </w:p>
    <w:p w:rsidR="00564663" w:rsidRPr="00F92D4A" w:rsidRDefault="00564663" w:rsidP="00564663">
      <w:pPr>
        <w:pStyle w:val="2"/>
        <w:numPr>
          <w:ilvl w:val="0"/>
          <w:numId w:val="1"/>
        </w:numPr>
        <w:tabs>
          <w:tab w:val="left" w:pos="335"/>
        </w:tabs>
        <w:spacing w:before="119"/>
        <w:ind w:hanging="222"/>
      </w:pPr>
      <w:r w:rsidRPr="00F92D4A">
        <w:t>Санкції:</w:t>
      </w:r>
    </w:p>
    <w:p w:rsidR="00564663" w:rsidRPr="00F92D4A" w:rsidRDefault="00564663" w:rsidP="00564663">
      <w:pPr>
        <w:pStyle w:val="a4"/>
        <w:numPr>
          <w:ilvl w:val="1"/>
          <w:numId w:val="1"/>
        </w:numPr>
        <w:tabs>
          <w:tab w:val="left" w:pos="500"/>
        </w:tabs>
        <w:spacing w:before="43"/>
        <w:ind w:left="500" w:hanging="387"/>
      </w:pPr>
      <w:r w:rsidRPr="00F92D4A">
        <w:t xml:space="preserve">Штрафні санкції до Споживача за перехід до іншого </w:t>
      </w:r>
      <w:proofErr w:type="spellStart"/>
      <w:r w:rsidRPr="00F92D4A">
        <w:t>електро</w:t>
      </w:r>
      <w:proofErr w:type="spellEnd"/>
      <w:r w:rsidRPr="00F92D4A">
        <w:rPr>
          <w:lang w:val="ru-RU"/>
        </w:rPr>
        <w:t xml:space="preserve"> </w:t>
      </w:r>
      <w:r w:rsidRPr="00F92D4A">
        <w:t xml:space="preserve">постачальника – </w:t>
      </w:r>
      <w:r w:rsidRPr="00F92D4A">
        <w:rPr>
          <w:b/>
        </w:rPr>
        <w:t>непередбачені</w:t>
      </w:r>
      <w:r w:rsidRPr="00F92D4A">
        <w:t>.</w:t>
      </w:r>
    </w:p>
    <w:p w:rsidR="00564663" w:rsidRPr="00F92D4A" w:rsidRDefault="00564663" w:rsidP="00564663">
      <w:pPr>
        <w:pStyle w:val="a4"/>
        <w:numPr>
          <w:ilvl w:val="1"/>
          <w:numId w:val="1"/>
        </w:numPr>
        <w:tabs>
          <w:tab w:val="left" w:pos="556"/>
        </w:tabs>
        <w:ind w:left="113" w:right="162" w:firstLine="0"/>
      </w:pPr>
      <w:r w:rsidRPr="00F92D4A">
        <w:t>Компенсація Споживачу за недотримання комерційної якості послуги з постачання електроенергії надається Постачальником у порядку, визначеному</w:t>
      </w:r>
      <w:r w:rsidRPr="00F92D4A">
        <w:rPr>
          <w:lang w:val="ru-RU"/>
        </w:rPr>
        <w:t xml:space="preserve"> </w:t>
      </w:r>
      <w:r w:rsidRPr="00F92D4A">
        <w:t>НКРЕКП.</w:t>
      </w:r>
    </w:p>
    <w:p w:rsidR="00564663" w:rsidRDefault="00564663" w:rsidP="00564663">
      <w:pPr>
        <w:pStyle w:val="a4"/>
        <w:numPr>
          <w:ilvl w:val="1"/>
          <w:numId w:val="1"/>
        </w:numPr>
        <w:tabs>
          <w:tab w:val="left" w:pos="501"/>
        </w:tabs>
        <w:ind w:left="113" w:firstLine="0"/>
      </w:pPr>
      <w:r w:rsidRPr="00F92D4A">
        <w:t>При порушенні строків оплати за електроенергію Постачальник має право нарахувати</w:t>
      </w:r>
      <w:r w:rsidRPr="00F92D4A">
        <w:rPr>
          <w:lang w:val="ru-RU"/>
        </w:rPr>
        <w:t xml:space="preserve"> </w:t>
      </w:r>
      <w:r w:rsidRPr="00F92D4A">
        <w:t>пеню.</w:t>
      </w:r>
      <w:r w:rsidRPr="00B00CE2">
        <w:t xml:space="preserve"> Пеня </w:t>
      </w:r>
      <w:r>
        <w:t xml:space="preserve">нараховується </w:t>
      </w:r>
      <w:r w:rsidRPr="00B00CE2">
        <w:t>у розмірі 0,1% від суми простроченого платежу за кожний банківський день прострочення, але не більше подвійної облікової ставки Національного банку України, що діяла у період, за який сплачується пеня.</w:t>
      </w:r>
    </w:p>
    <w:p w:rsidR="00564663" w:rsidRPr="00532EB7" w:rsidRDefault="00564663" w:rsidP="00564663">
      <w:pPr>
        <w:pStyle w:val="a4"/>
        <w:numPr>
          <w:ilvl w:val="0"/>
          <w:numId w:val="1"/>
        </w:numPr>
        <w:tabs>
          <w:tab w:val="left" w:pos="335"/>
        </w:tabs>
        <w:spacing w:before="114"/>
        <w:ind w:hanging="222"/>
        <w:rPr>
          <w:b/>
        </w:rPr>
      </w:pPr>
      <w:r w:rsidRPr="00532EB7">
        <w:rPr>
          <w:b/>
        </w:rPr>
        <w:t xml:space="preserve">Пільги: </w:t>
      </w:r>
    </w:p>
    <w:p w:rsidR="00564663" w:rsidRDefault="005561A8" w:rsidP="00564663">
      <w:pPr>
        <w:pStyle w:val="a4"/>
        <w:numPr>
          <w:ilvl w:val="1"/>
          <w:numId w:val="1"/>
        </w:numPr>
        <w:tabs>
          <w:tab w:val="left" w:pos="335"/>
        </w:tabs>
        <w:spacing w:before="114"/>
      </w:pPr>
      <w:r w:rsidRPr="005561A8">
        <w:t>Постачальник здійснює врахування пільг та житлових субсидій відповідно до вимог чинного законодавства України та порядку, визначеного уповноваженими органами</w:t>
      </w:r>
      <w:r w:rsidR="00564663" w:rsidRPr="00F92D4A">
        <w:t>.</w:t>
      </w:r>
    </w:p>
    <w:p w:rsidR="00FA431F" w:rsidRPr="00F92D4A" w:rsidRDefault="00FA431F" w:rsidP="00CA2D33">
      <w:pPr>
        <w:pStyle w:val="a4"/>
        <w:numPr>
          <w:ilvl w:val="0"/>
          <w:numId w:val="1"/>
        </w:numPr>
        <w:tabs>
          <w:tab w:val="left" w:pos="335"/>
        </w:tabs>
        <w:spacing w:before="114"/>
        <w:ind w:hanging="222"/>
      </w:pPr>
      <w:r w:rsidRPr="00F92D4A">
        <w:rPr>
          <w:b/>
        </w:rPr>
        <w:t xml:space="preserve">Період постачання: </w:t>
      </w:r>
      <w:r w:rsidR="00F87CBF">
        <w:t>починаючи з 01.</w:t>
      </w:r>
      <w:r w:rsidR="00792D37">
        <w:t>01.2025 по 31.12.2025</w:t>
      </w:r>
      <w:r w:rsidR="00744FCB">
        <w:t xml:space="preserve"> року</w:t>
      </w:r>
      <w:r w:rsidR="00BF7D96">
        <w:t>, б</w:t>
      </w:r>
      <w:r w:rsidR="0005683B">
        <w:t>ез можливості пролонгації</w:t>
      </w:r>
      <w:r w:rsidR="003E2F99">
        <w:t xml:space="preserve"> договору</w:t>
      </w:r>
      <w:r w:rsidR="0005683B">
        <w:t>.</w:t>
      </w:r>
    </w:p>
    <w:p w:rsidR="004960EE" w:rsidRPr="00F92D4A" w:rsidRDefault="004960EE" w:rsidP="004960EE">
      <w:pPr>
        <w:pStyle w:val="a3"/>
        <w:ind w:left="0"/>
        <w:jc w:val="left"/>
      </w:pPr>
    </w:p>
    <w:p w:rsidR="004960EE" w:rsidRDefault="004960EE" w:rsidP="004960EE">
      <w:pPr>
        <w:pStyle w:val="a3"/>
        <w:ind w:left="0"/>
        <w:jc w:val="left"/>
      </w:pPr>
    </w:p>
    <w:p w:rsidR="004960EE" w:rsidRDefault="004960EE" w:rsidP="004960EE">
      <w:pPr>
        <w:pStyle w:val="a3"/>
        <w:ind w:left="0"/>
        <w:jc w:val="left"/>
      </w:pPr>
    </w:p>
    <w:p w:rsidR="009B7978" w:rsidRDefault="009B7978" w:rsidP="00792D37">
      <w:pPr>
        <w:rPr>
          <w:b/>
          <w:sz w:val="28"/>
        </w:rPr>
      </w:pPr>
    </w:p>
    <w:p w:rsidR="00052ADA" w:rsidRPr="00052ADA" w:rsidRDefault="00792D37" w:rsidP="00792D37">
      <w:pPr>
        <w:tabs>
          <w:tab w:val="left" w:pos="3915"/>
        </w:tabs>
        <w:rPr>
          <w:sz w:val="28"/>
        </w:rPr>
      </w:pPr>
      <w:r>
        <w:rPr>
          <w:sz w:val="28"/>
        </w:rPr>
        <w:tab/>
      </w:r>
    </w:p>
    <w:p w:rsidR="00052ADA" w:rsidRPr="00052ADA" w:rsidRDefault="00052ADA" w:rsidP="00052ADA">
      <w:pPr>
        <w:tabs>
          <w:tab w:val="left" w:pos="3732"/>
        </w:tabs>
        <w:rPr>
          <w:sz w:val="28"/>
        </w:rPr>
      </w:pPr>
    </w:p>
    <w:sectPr w:rsidR="00052ADA" w:rsidRPr="00052ADA" w:rsidSect="00792D37">
      <w:headerReference w:type="default" r:id="rId8"/>
      <w:footerReference w:type="default" r:id="rId9"/>
      <w:type w:val="continuous"/>
      <w:pgSz w:w="11910" w:h="16840"/>
      <w:pgMar w:top="806" w:right="428" w:bottom="851" w:left="567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1272" w:rsidRDefault="00391272" w:rsidP="00DE24AB">
      <w:pPr>
        <w:pStyle w:val="a3"/>
      </w:pPr>
      <w:r>
        <w:separator/>
      </w:r>
    </w:p>
  </w:endnote>
  <w:endnote w:type="continuationSeparator" w:id="0">
    <w:p w:rsidR="00391272" w:rsidRDefault="00391272" w:rsidP="00DE24A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565A" w:rsidRDefault="00BD565A" w:rsidP="00BD565A">
    <w:pPr>
      <w:tabs>
        <w:tab w:val="left" w:pos="4908"/>
        <w:tab w:val="left" w:pos="6088"/>
      </w:tabs>
      <w:spacing w:line="0" w:lineRule="atLeast"/>
      <w:ind w:left="148"/>
    </w:pPr>
    <w:r w:rsidRPr="00AC4AAD">
      <w:t>від СПОЖИВАЧА________________</w:t>
    </w:r>
    <w:r w:rsidRPr="00AC4AAD">
      <w:tab/>
    </w:r>
    <w:r w:rsidRPr="00AC4AAD">
      <w:tab/>
      <w:t>від ПОСТАЧАЛЬНИКА___________________</w:t>
    </w:r>
  </w:p>
  <w:p w:rsidR="00BD565A" w:rsidRPr="00AC4AAD" w:rsidRDefault="00BD565A" w:rsidP="00BD565A">
    <w:pPr>
      <w:tabs>
        <w:tab w:val="left" w:pos="4908"/>
        <w:tab w:val="left" w:pos="6088"/>
      </w:tabs>
      <w:spacing w:line="0" w:lineRule="atLeast"/>
      <w:ind w:left="148"/>
    </w:pPr>
  </w:p>
  <w:p w:rsidR="00BD565A" w:rsidRDefault="00BD565A">
    <w:pPr>
      <w:pStyle w:val="ab"/>
    </w:pPr>
  </w:p>
  <w:p w:rsidR="00BD565A" w:rsidRDefault="00BD56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1272" w:rsidRDefault="00391272" w:rsidP="00DE24AB">
      <w:pPr>
        <w:pStyle w:val="a3"/>
      </w:pPr>
      <w:r>
        <w:separator/>
      </w:r>
    </w:p>
  </w:footnote>
  <w:footnote w:type="continuationSeparator" w:id="0">
    <w:p w:rsidR="00391272" w:rsidRDefault="00391272" w:rsidP="00DE24AB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5353"/>
    </w:tblGrid>
    <w:tr w:rsidR="00DE24AB" w:rsidTr="00CA2D33">
      <w:trPr>
        <w:trHeight w:val="1425"/>
      </w:trPr>
      <w:tc>
        <w:tcPr>
          <w:tcW w:w="5353" w:type="dxa"/>
        </w:tcPr>
        <w:p w:rsidR="00DE24AB" w:rsidRPr="00DE24AB" w:rsidRDefault="00DE24AB" w:rsidP="00DE24AB">
          <w:pPr>
            <w:rPr>
              <w:color w:val="000000" w:themeColor="text1"/>
              <w:sz w:val="20"/>
              <w:szCs w:val="20"/>
            </w:rPr>
          </w:pPr>
          <w:r w:rsidRPr="00DE24AB">
            <w:rPr>
              <w:color w:val="000000" w:themeColor="text1"/>
              <w:sz w:val="20"/>
              <w:szCs w:val="20"/>
            </w:rPr>
            <w:t>21100, Україна, м. Вінниця,</w:t>
          </w:r>
        </w:p>
        <w:p w:rsidR="00DE24AB" w:rsidRPr="00DE24AB" w:rsidRDefault="00DE24AB" w:rsidP="00DE24AB">
          <w:pPr>
            <w:rPr>
              <w:color w:val="000000" w:themeColor="text1"/>
              <w:sz w:val="20"/>
              <w:szCs w:val="20"/>
              <w:lang w:val="ru-RU"/>
            </w:rPr>
          </w:pPr>
          <w:r w:rsidRPr="00DE24AB">
            <w:rPr>
              <w:color w:val="000000" w:themeColor="text1"/>
              <w:sz w:val="20"/>
              <w:szCs w:val="20"/>
            </w:rPr>
            <w:t xml:space="preserve">вул. Хмельницьке шосе, буд. 13, офіс </w:t>
          </w:r>
          <w:r w:rsidR="00744FCB">
            <w:rPr>
              <w:color w:val="000000" w:themeColor="text1"/>
              <w:sz w:val="20"/>
              <w:szCs w:val="20"/>
              <w:lang w:val="ru-RU"/>
            </w:rPr>
            <w:t>1</w:t>
          </w:r>
          <w:r w:rsidRPr="00DE24AB">
            <w:rPr>
              <w:color w:val="000000" w:themeColor="text1"/>
              <w:sz w:val="20"/>
              <w:szCs w:val="20"/>
              <w:lang w:val="ru-RU"/>
            </w:rPr>
            <w:t>09</w:t>
          </w:r>
        </w:p>
        <w:p w:rsidR="00DE24AB" w:rsidRPr="00792D37" w:rsidRDefault="00DE24AB" w:rsidP="00DE24AB">
          <w:pPr>
            <w:rPr>
              <w:sz w:val="20"/>
              <w:szCs w:val="20"/>
              <w:lang w:val="ru-RU"/>
            </w:rPr>
          </w:pPr>
          <w:r w:rsidRPr="00DE24AB">
            <w:rPr>
              <w:color w:val="000000" w:themeColor="text1"/>
              <w:sz w:val="20"/>
              <w:szCs w:val="20"/>
            </w:rPr>
            <w:t>Телефон</w:t>
          </w:r>
          <w:r w:rsidRPr="00792D37">
            <w:rPr>
              <w:sz w:val="20"/>
              <w:szCs w:val="20"/>
            </w:rPr>
            <w:t xml:space="preserve">: </w:t>
          </w:r>
          <w:r w:rsidRPr="00792D37">
            <w:rPr>
              <w:sz w:val="20"/>
              <w:szCs w:val="20"/>
              <w:lang w:val="ru-RU"/>
            </w:rPr>
            <w:t>+380 67-665-00-69 (</w:t>
          </w:r>
          <w:proofErr w:type="spellStart"/>
          <w:r w:rsidRPr="00792D37">
            <w:rPr>
              <w:sz w:val="20"/>
              <w:szCs w:val="20"/>
              <w:lang w:val="ru-RU"/>
            </w:rPr>
            <w:t>офіс</w:t>
          </w:r>
          <w:proofErr w:type="spellEnd"/>
          <w:r w:rsidRPr="00792D37">
            <w:rPr>
              <w:sz w:val="20"/>
              <w:szCs w:val="20"/>
              <w:lang w:val="ru-RU"/>
            </w:rPr>
            <w:t>)</w:t>
          </w:r>
        </w:p>
        <w:p w:rsidR="00DE24AB" w:rsidRPr="00792D37" w:rsidRDefault="00DE24AB" w:rsidP="00DE24AB">
          <w:pPr>
            <w:rPr>
              <w:sz w:val="20"/>
              <w:szCs w:val="20"/>
              <w:lang w:val="ru-RU"/>
            </w:rPr>
          </w:pPr>
          <w:r w:rsidRPr="00792D37">
            <w:rPr>
              <w:sz w:val="20"/>
              <w:szCs w:val="20"/>
              <w:lang w:val="en-US"/>
            </w:rPr>
            <w:t>e</w:t>
          </w:r>
          <w:r w:rsidRPr="00792D37">
            <w:rPr>
              <w:sz w:val="20"/>
              <w:szCs w:val="20"/>
              <w:lang w:val="ru-RU"/>
            </w:rPr>
            <w:t>-</w:t>
          </w:r>
          <w:r w:rsidRPr="00792D37">
            <w:rPr>
              <w:sz w:val="20"/>
              <w:szCs w:val="20"/>
              <w:lang w:val="en-US"/>
            </w:rPr>
            <w:t>mail</w:t>
          </w:r>
          <w:r w:rsidRPr="00792D37">
            <w:rPr>
              <w:sz w:val="20"/>
              <w:szCs w:val="20"/>
              <w:lang w:val="ru-RU"/>
            </w:rPr>
            <w:t xml:space="preserve">:  </w:t>
          </w:r>
          <w:hyperlink r:id="rId1" w:history="1">
            <w:r w:rsidR="00792D37" w:rsidRPr="00792D37">
              <w:rPr>
                <w:rStyle w:val="a5"/>
                <w:color w:val="auto"/>
                <w:sz w:val="20"/>
                <w:szCs w:val="20"/>
                <w:lang w:val="en-US"/>
              </w:rPr>
              <w:t>vitoenergy</w:t>
            </w:r>
            <w:r w:rsidR="00792D37" w:rsidRPr="005561A8">
              <w:rPr>
                <w:rStyle w:val="a5"/>
                <w:color w:val="auto"/>
                <w:sz w:val="20"/>
                <w:szCs w:val="20"/>
                <w:lang w:val="ru-RU"/>
              </w:rPr>
              <w:t>2@</w:t>
            </w:r>
            <w:r w:rsidR="00792D37" w:rsidRPr="00792D37">
              <w:rPr>
                <w:rStyle w:val="a5"/>
                <w:color w:val="auto"/>
                <w:sz w:val="20"/>
                <w:szCs w:val="20"/>
                <w:lang w:val="en-US"/>
              </w:rPr>
              <w:t>gmail</w:t>
            </w:r>
            <w:r w:rsidR="00792D37" w:rsidRPr="005561A8">
              <w:rPr>
                <w:rStyle w:val="a5"/>
                <w:color w:val="auto"/>
                <w:sz w:val="20"/>
                <w:szCs w:val="20"/>
                <w:lang w:val="ru-RU"/>
              </w:rPr>
              <w:t>.</w:t>
            </w:r>
            <w:r w:rsidR="00792D37" w:rsidRPr="00792D37">
              <w:rPr>
                <w:rStyle w:val="a5"/>
                <w:color w:val="auto"/>
                <w:sz w:val="20"/>
                <w:szCs w:val="20"/>
                <w:lang w:val="en-US"/>
              </w:rPr>
              <w:t>com</w:t>
            </w:r>
          </w:hyperlink>
        </w:p>
        <w:p w:rsidR="00DE24AB" w:rsidRPr="00DE24AB" w:rsidRDefault="00DE24AB" w:rsidP="00DE24AB">
          <w:pPr>
            <w:rPr>
              <w:color w:val="000000" w:themeColor="text1"/>
              <w:sz w:val="20"/>
              <w:szCs w:val="20"/>
              <w:lang w:val="en-US"/>
            </w:rPr>
          </w:pPr>
          <w:r w:rsidRPr="00DE24AB">
            <w:rPr>
              <w:color w:val="000000" w:themeColor="text1"/>
              <w:sz w:val="20"/>
              <w:szCs w:val="20"/>
            </w:rPr>
            <w:t xml:space="preserve"> </w:t>
          </w:r>
          <w:r w:rsidRPr="00DE24AB">
            <w:rPr>
              <w:color w:val="000000" w:themeColor="text1"/>
              <w:sz w:val="20"/>
              <w:szCs w:val="20"/>
              <w:lang w:val="en-US"/>
            </w:rPr>
            <w:t>web:     www.vitonrg.com</w:t>
          </w:r>
        </w:p>
        <w:p w:rsidR="00DE24AB" w:rsidRDefault="00DE24AB" w:rsidP="00DE24AB">
          <w:pPr>
            <w:rPr>
              <w:color w:val="000000" w:themeColor="text1"/>
              <w:sz w:val="20"/>
              <w:szCs w:val="20"/>
            </w:rPr>
          </w:pPr>
        </w:p>
      </w:tc>
      <w:tc>
        <w:tcPr>
          <w:tcW w:w="5353" w:type="dxa"/>
        </w:tcPr>
        <w:p w:rsidR="00DE24AB" w:rsidRDefault="00DE24AB" w:rsidP="00DE24AB">
          <w:pPr>
            <w:rPr>
              <w:color w:val="000000" w:themeColor="text1"/>
              <w:sz w:val="20"/>
              <w:szCs w:val="20"/>
            </w:rPr>
          </w:pPr>
          <w:r w:rsidRPr="00DE24AB">
            <w:rPr>
              <w:noProof/>
              <w:color w:val="000000" w:themeColor="text1"/>
              <w:sz w:val="20"/>
              <w:szCs w:val="20"/>
              <w:lang w:val="ru-RU" w:eastAsia="ru-RU" w:bidi="ar-SA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-209550</wp:posOffset>
                </wp:positionV>
                <wp:extent cx="2524125" cy="1181100"/>
                <wp:effectExtent l="19050" t="0" r="9525" b="0"/>
                <wp:wrapNone/>
                <wp:docPr id="18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1181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DE24AB" w:rsidRDefault="00792D37" w:rsidP="00DE24AB">
    <w:pPr>
      <w:rPr>
        <w:color w:val="000000" w:themeColor="text1"/>
        <w:sz w:val="20"/>
        <w:szCs w:val="20"/>
      </w:rPr>
    </w:pPr>
    <w:r>
      <w:rPr>
        <w:noProof/>
        <w:color w:val="000000" w:themeColor="text1"/>
        <w:sz w:val="20"/>
        <w:szCs w:val="20"/>
        <w:lang w:val="ru-RU" w:eastAsia="ru-RU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55041C" wp14:editId="048B651E">
              <wp:simplePos x="0" y="0"/>
              <wp:positionH relativeFrom="page">
                <wp:posOffset>-200025</wp:posOffset>
              </wp:positionH>
              <wp:positionV relativeFrom="paragraph">
                <wp:posOffset>117475</wp:posOffset>
              </wp:positionV>
              <wp:extent cx="7981950" cy="45719"/>
              <wp:effectExtent l="0" t="0" r="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81950" cy="45719"/>
                      </a:xfrm>
                      <a:prstGeom prst="rect">
                        <a:avLst/>
                      </a:prstGeom>
                      <a:solidFill>
                        <a:srgbClr val="33CC3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72748" id="Rectangle 6" o:spid="_x0000_s1026" style="position:absolute;margin-left:-15.75pt;margin-top:9.25pt;width:628.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Q4/gEAANoDAAAOAAAAZHJzL2Uyb0RvYy54bWysU8tu2zAQvBfoPxC817Js52HBchA4SFEg&#10;bYIm/QCKoiSiFJdd0pbdr++Scly3uRW9EFzucjgzu1zd7HvDdgq9BlvyfDLlTFkJtbZtyb+93H+4&#10;5swHYWthwKqSH5TnN+v371aDK9QMOjC1QkYg1heDK3kXgiuyzMtO9cJPwClLyQawF4FCbLMaxUDo&#10;vclm0+llNgDWDkEq7+n0bkzydcJvGiXDY9N4FZgpOXELacW0VnHN1itRtChcp+WRhvgHFr3Qlh49&#10;Qd2JINgW9RuoXksED02YSOgzaBotVdJAavLpX2qeO+FU0kLmeHeyyf8/WPll94RM1yWfcWZFTy36&#10;SqYJ2xrFLqM9g/MFVT27J4wCvXsA+d0zC5uOqtQtIgydEjWRymN99seFGHi6yqrhM9SELrYBklP7&#10;BvsISB6wfWrI4dQQtQ9M0uHV8jpfXlDfJOUWF1f5Mr0gitfLDn34qKBncVNyJOoJXOwefIhkRPFa&#10;ksiD0fW9NiYF2FYbg2wnaDbm881mPj+i+/MyY2OxhXhtRIwnSWUUNhpUQX0gkQjjgNGHoE0H+JOz&#10;gYar5P7HVqDizHyyZNQyXyziNKaAdM0owPNMdZ4RVhJUyQNn43YTxgneOtRtRy/lSbSFWzK30Ul4&#10;NH5kdSRLA5T8OA57nNDzOFX9/pLrXwAAAP//AwBQSwMEFAAGAAgAAAAhAJ16KeTfAAAACgEAAA8A&#10;AABkcnMvZG93bnJldi54bWxMj0FPg0AQhe8m/ofNmHhrl9KgDWVpTBO9eCnUxHjbslMgsLPIbin+&#10;e6cnPc1M3sub72W72fZiwtG3jhSslhEIpMqZlmoFH8fXxQaED5qM7h2hgh/0sMvv7zKdGnelAqcy&#10;1IJDyKdaQRPCkErpqwat9ks3ILF2dqPVgc+xlmbUVw63vYyj6Ela3RJ/aPSA+warrrxYBW9mXcp9&#10;aDt8n74O364rPg+6UOrxYX7Zggg4hz8z3PAZHXJmOrkLGS96BYv1KmErCxueN0McJ7ydFMTJM8g8&#10;k/8r5L8AAAD//wMAUEsBAi0AFAAGAAgAAAAhALaDOJL+AAAA4QEAABMAAAAAAAAAAAAAAAAAAAAA&#10;AFtDb250ZW50X1R5cGVzXS54bWxQSwECLQAUAAYACAAAACEAOP0h/9YAAACUAQAACwAAAAAAAAAA&#10;AAAAAAAvAQAAX3JlbHMvLnJlbHNQSwECLQAUAAYACAAAACEAzTQ0OP4BAADaAwAADgAAAAAAAAAA&#10;AAAAAAAuAgAAZHJzL2Uyb0RvYy54bWxQSwECLQAUAAYACAAAACEAnXop5N8AAAAKAQAADwAAAAAA&#10;AAAAAAAAAABYBAAAZHJzL2Rvd25yZXYueG1sUEsFBgAAAAAEAAQA8wAAAGQFAAAAAA==&#10;" fillcolor="#3c3" stroked="f">
              <w10:wrap anchorx="page"/>
            </v:rect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39A38E" wp14:editId="08444DDD">
              <wp:simplePos x="0" y="0"/>
              <wp:positionH relativeFrom="page">
                <wp:align>right</wp:align>
              </wp:positionH>
              <wp:positionV relativeFrom="paragraph">
                <wp:posOffset>203835</wp:posOffset>
              </wp:positionV>
              <wp:extent cx="7800975" cy="45720"/>
              <wp:effectExtent l="0" t="0" r="9525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0975" cy="45720"/>
                      </a:xfrm>
                      <a:prstGeom prst="rect">
                        <a:avLst/>
                      </a:prstGeom>
                      <a:solidFill>
                        <a:srgbClr val="33CC3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03D7C8" id="Rectangle 8" o:spid="_x0000_s1026" style="position:absolute;margin-left:563.05pt;margin-top:16.05pt;width:614.25pt;height:3.6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Nv/QEAANoDAAAOAAAAZHJzL2Uyb0RvYy54bWysU1Fv0zAQfkfiP1h+p0najnZR02nqNIQ0&#10;YGLsB7iOk1g4PnN2m5Zfz9npSmFviBfL5zt//r7vzqubQ2/YXqHXYCteTHLOlJVQa9tW/Pnb/bsl&#10;Zz4IWwsDVlX8qDy/Wb99sxpcqabQgakVMgKxvhxcxbsQXJllXnaqF34CTllKNoC9CBRim9UoBkLv&#10;TTbN8/fZAFg7BKm8p9O7McnXCb9plAxfmsarwEzFiVtIK6Z1G9dsvRJli8J1Wp5oiH9g0Qtt6dEz&#10;1J0Igu1Qv4LqtUTw0ISJhD6DptFSJQ2kpsj/UvPUCaeSFjLHu7NN/v/Bys/7R2S6rvicMyt6atFX&#10;Mk3Y1ii2jPYMzpdU9eQeMQr07gHkd88sbDqqUreIMHRK1ESqiPXZHxdi4Okq2w6foCZ0sQuQnDo0&#10;2EdA8oAdUkOO54aoQ2CSDhfLPL9eXHEmKTe/WkxTwzJRvlx26MMHBT2Lm4ojUU/gYv/gQyQjypeS&#10;RB6Mru+1MSnAdrsxyPaCZmM222xms8SfNF6WGRuLLcRrI2I8SSqjsNGgLdRHEokwDhh9CNp0gD85&#10;G2i4Ku5/7AQqzsxHS0ZdF/N5nMYUjLoYXma2lxlhJUFVPHA2bjdhnOCdQ9129FKRRFu4JXMbnYRH&#10;40dWJ7I0QMmP07DHCb2MU9XvL7n+BQAA//8DAFBLAwQUAAYACAAAACEAZ5LCt90AAAAHAQAADwAA&#10;AGRycy9kb3ducmV2LnhtbEyPQU+DQBCF7yb+h82Y9GaXQjQVWRrTRC+9FNqk8TZlRyCws8huKf57&#10;tyc9znsv732TbWbTi4lG11pWsFpGIIgrq1uuFRwP749rEM4ja+wtk4IfcrDJ7+8yTLW9ckFT6WsR&#10;StilqKDxfkildFVDBt3SDsTB+7KjQR/OsZZ6xGsoN72Mo+hZGmw5LDQ40LahqisvRsGHTkq59W1H&#10;u+lz/2274rTHQqnFw/z2CsLT7P/CcMMP6JAHprO9sHaiVxAe8QqSeAXi5sbx+gnEOSgvCcg8k//5&#10;818AAAD//wMAUEsBAi0AFAAGAAgAAAAhALaDOJL+AAAA4QEAABMAAAAAAAAAAAAAAAAAAAAAAFtD&#10;b250ZW50X1R5cGVzXS54bWxQSwECLQAUAAYACAAAACEAOP0h/9YAAACUAQAACwAAAAAAAAAAAAAA&#10;AAAvAQAAX3JlbHMvLnJlbHNQSwECLQAUAAYACAAAACEAkxlTb/0BAADaAwAADgAAAAAAAAAAAAAA&#10;AAAuAgAAZHJzL2Uyb0RvYy54bWxQSwECLQAUAAYACAAAACEAZ5LCt90AAAAHAQAADwAAAAAAAAAA&#10;AAAAAABXBAAAZHJzL2Rvd25yZXYueG1sUEsFBgAAAAAEAAQA8wAAAGEFAAAAAA==&#10;" fillcolor="#3c3" stroked="f">
              <w10:wrap anchorx="page"/>
            </v:rect>
          </w:pict>
        </mc:Fallback>
      </mc:AlternateContent>
    </w:r>
  </w:p>
  <w:p w:rsidR="00DE24AB" w:rsidRDefault="00DE24A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258EF"/>
    <w:multiLevelType w:val="multilevel"/>
    <w:tmpl w:val="3C0C05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36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248" w:hanging="1800"/>
      </w:pPr>
      <w:rPr>
        <w:rFonts w:hint="default"/>
        <w:color w:val="000000"/>
      </w:rPr>
    </w:lvl>
  </w:abstractNum>
  <w:abstractNum w:abstractNumId="1" w15:restartNumberingAfterBreak="0">
    <w:nsid w:val="04347621"/>
    <w:multiLevelType w:val="hybridMultilevel"/>
    <w:tmpl w:val="5798F93E"/>
    <w:lvl w:ilvl="0" w:tplc="48E87E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90B3D"/>
    <w:multiLevelType w:val="hybridMultilevel"/>
    <w:tmpl w:val="AF2E1A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496680"/>
    <w:multiLevelType w:val="multilevel"/>
    <w:tmpl w:val="749291A0"/>
    <w:lvl w:ilvl="0">
      <w:start w:val="1"/>
      <w:numFmt w:val="decimal"/>
      <w:lvlText w:val="%1."/>
      <w:lvlJc w:val="left"/>
      <w:pPr>
        <w:ind w:left="2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428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2">
      <w:numFmt w:val="bullet"/>
      <w:lvlText w:val="•"/>
      <w:lvlJc w:val="left"/>
      <w:pPr>
        <w:ind w:left="387" w:hanging="428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27" w:hanging="428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847" w:hanging="428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3268" w:hanging="428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688" w:hanging="428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109" w:hanging="428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529" w:hanging="428"/>
      </w:pPr>
      <w:rPr>
        <w:rFonts w:hint="default"/>
        <w:lang w:val="uk-UA" w:eastAsia="uk-UA" w:bidi="uk-UA"/>
      </w:rPr>
    </w:lvl>
  </w:abstractNum>
  <w:abstractNum w:abstractNumId="4" w15:restartNumberingAfterBreak="0">
    <w:nsid w:val="6CB34F6E"/>
    <w:multiLevelType w:val="hybridMultilevel"/>
    <w:tmpl w:val="F19ED37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77AD0831"/>
    <w:multiLevelType w:val="hybridMultilevel"/>
    <w:tmpl w:val="4A74C6E0"/>
    <w:lvl w:ilvl="0" w:tplc="185246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140B"/>
    <w:multiLevelType w:val="hybridMultilevel"/>
    <w:tmpl w:val="5588A518"/>
    <w:lvl w:ilvl="0" w:tplc="1852465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939"/>
    <w:rsid w:val="00022D49"/>
    <w:rsid w:val="00022E7F"/>
    <w:rsid w:val="00052ADA"/>
    <w:rsid w:val="0005408A"/>
    <w:rsid w:val="0005683B"/>
    <w:rsid w:val="00060AE8"/>
    <w:rsid w:val="00075CC6"/>
    <w:rsid w:val="000925A7"/>
    <w:rsid w:val="000C5715"/>
    <w:rsid w:val="000E392A"/>
    <w:rsid w:val="00114939"/>
    <w:rsid w:val="001437B7"/>
    <w:rsid w:val="00175B17"/>
    <w:rsid w:val="00177793"/>
    <w:rsid w:val="0018254E"/>
    <w:rsid w:val="001931FD"/>
    <w:rsid w:val="001A4FD3"/>
    <w:rsid w:val="001E41CD"/>
    <w:rsid w:val="0021304B"/>
    <w:rsid w:val="00215117"/>
    <w:rsid w:val="00216176"/>
    <w:rsid w:val="00221FFE"/>
    <w:rsid w:val="00225B16"/>
    <w:rsid w:val="002428FC"/>
    <w:rsid w:val="00246453"/>
    <w:rsid w:val="00281792"/>
    <w:rsid w:val="00286247"/>
    <w:rsid w:val="002B5AAC"/>
    <w:rsid w:val="002B5C9E"/>
    <w:rsid w:val="002C5451"/>
    <w:rsid w:val="00335594"/>
    <w:rsid w:val="00371CAF"/>
    <w:rsid w:val="00391272"/>
    <w:rsid w:val="003B27CC"/>
    <w:rsid w:val="003B3638"/>
    <w:rsid w:val="003E2F99"/>
    <w:rsid w:val="00415E36"/>
    <w:rsid w:val="00424F70"/>
    <w:rsid w:val="0044373C"/>
    <w:rsid w:val="00450443"/>
    <w:rsid w:val="0046737B"/>
    <w:rsid w:val="00483AFF"/>
    <w:rsid w:val="004960EE"/>
    <w:rsid w:val="004F0FA7"/>
    <w:rsid w:val="005236D4"/>
    <w:rsid w:val="00532EB7"/>
    <w:rsid w:val="005561A8"/>
    <w:rsid w:val="005576D2"/>
    <w:rsid w:val="0056324C"/>
    <w:rsid w:val="00564663"/>
    <w:rsid w:val="005816B7"/>
    <w:rsid w:val="00592AD9"/>
    <w:rsid w:val="005C750F"/>
    <w:rsid w:val="006076AF"/>
    <w:rsid w:val="00607EB5"/>
    <w:rsid w:val="006325CF"/>
    <w:rsid w:val="00665267"/>
    <w:rsid w:val="00692CBA"/>
    <w:rsid w:val="006A7261"/>
    <w:rsid w:val="006D1C86"/>
    <w:rsid w:val="00744FCB"/>
    <w:rsid w:val="007763B3"/>
    <w:rsid w:val="00792D37"/>
    <w:rsid w:val="007C6E36"/>
    <w:rsid w:val="007E6104"/>
    <w:rsid w:val="008212B9"/>
    <w:rsid w:val="00844DE0"/>
    <w:rsid w:val="00867583"/>
    <w:rsid w:val="008E1E57"/>
    <w:rsid w:val="0092377E"/>
    <w:rsid w:val="009973D1"/>
    <w:rsid w:val="009A40CB"/>
    <w:rsid w:val="009A6F48"/>
    <w:rsid w:val="009B658A"/>
    <w:rsid w:val="009B7978"/>
    <w:rsid w:val="009C6C18"/>
    <w:rsid w:val="009E1C2F"/>
    <w:rsid w:val="00A34C9C"/>
    <w:rsid w:val="00A61B55"/>
    <w:rsid w:val="00A72D4A"/>
    <w:rsid w:val="00A80C1E"/>
    <w:rsid w:val="00AB31EC"/>
    <w:rsid w:val="00AC3DF0"/>
    <w:rsid w:val="00AD5E95"/>
    <w:rsid w:val="00AF48F3"/>
    <w:rsid w:val="00AF6774"/>
    <w:rsid w:val="00B02893"/>
    <w:rsid w:val="00B436B8"/>
    <w:rsid w:val="00B82A14"/>
    <w:rsid w:val="00B90494"/>
    <w:rsid w:val="00B914C7"/>
    <w:rsid w:val="00BA4FF1"/>
    <w:rsid w:val="00BB5B0B"/>
    <w:rsid w:val="00BD565A"/>
    <w:rsid w:val="00BF45C2"/>
    <w:rsid w:val="00BF7D96"/>
    <w:rsid w:val="00C0692A"/>
    <w:rsid w:val="00C4780D"/>
    <w:rsid w:val="00C6512F"/>
    <w:rsid w:val="00C77305"/>
    <w:rsid w:val="00C93739"/>
    <w:rsid w:val="00CA2D33"/>
    <w:rsid w:val="00CA6866"/>
    <w:rsid w:val="00CC518E"/>
    <w:rsid w:val="00CF5B32"/>
    <w:rsid w:val="00D511D1"/>
    <w:rsid w:val="00D614A5"/>
    <w:rsid w:val="00D642D9"/>
    <w:rsid w:val="00D817E5"/>
    <w:rsid w:val="00DE1B57"/>
    <w:rsid w:val="00DE24AB"/>
    <w:rsid w:val="00E02959"/>
    <w:rsid w:val="00E21DF4"/>
    <w:rsid w:val="00E25ABB"/>
    <w:rsid w:val="00E37D6B"/>
    <w:rsid w:val="00E54867"/>
    <w:rsid w:val="00E91518"/>
    <w:rsid w:val="00EC02C4"/>
    <w:rsid w:val="00EC7E2A"/>
    <w:rsid w:val="00ED08E0"/>
    <w:rsid w:val="00EE1CE3"/>
    <w:rsid w:val="00EE3C02"/>
    <w:rsid w:val="00F255DC"/>
    <w:rsid w:val="00F715ED"/>
    <w:rsid w:val="00F87CBF"/>
    <w:rsid w:val="00F90A47"/>
    <w:rsid w:val="00F92D4A"/>
    <w:rsid w:val="00FA3E77"/>
    <w:rsid w:val="00FA431F"/>
    <w:rsid w:val="00FB358A"/>
    <w:rsid w:val="00FB5CCA"/>
    <w:rsid w:val="00FB76DD"/>
    <w:rsid w:val="00FC7D8D"/>
    <w:rsid w:val="00FE12E0"/>
    <w:rsid w:val="00FE4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34949DBB"/>
  <w15:docId w15:val="{37B3908C-430B-40EE-86D0-F2785BE3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91518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rsid w:val="00E91518"/>
    <w:pPr>
      <w:ind w:left="173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rsid w:val="00E91518"/>
    <w:pPr>
      <w:spacing w:before="120"/>
      <w:ind w:left="334" w:hanging="222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5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518"/>
    <w:pPr>
      <w:ind w:left="113"/>
      <w:jc w:val="both"/>
    </w:pPr>
  </w:style>
  <w:style w:type="paragraph" w:styleId="a4">
    <w:name w:val="List Paragraph"/>
    <w:basedOn w:val="a"/>
    <w:uiPriority w:val="1"/>
    <w:qFormat/>
    <w:rsid w:val="00E91518"/>
    <w:pPr>
      <w:ind w:left="113" w:hanging="429"/>
      <w:jc w:val="both"/>
    </w:pPr>
  </w:style>
  <w:style w:type="paragraph" w:customStyle="1" w:styleId="TableParagraph">
    <w:name w:val="Table Paragraph"/>
    <w:basedOn w:val="a"/>
    <w:uiPriority w:val="1"/>
    <w:qFormat/>
    <w:rsid w:val="00E91518"/>
    <w:pPr>
      <w:spacing w:line="222" w:lineRule="exact"/>
      <w:jc w:val="center"/>
    </w:pPr>
  </w:style>
  <w:style w:type="character" w:styleId="a5">
    <w:name w:val="Hyperlink"/>
    <w:basedOn w:val="a0"/>
    <w:uiPriority w:val="99"/>
    <w:unhideWhenUsed/>
    <w:rsid w:val="0066526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67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6774"/>
    <w:rPr>
      <w:rFonts w:ascii="Segoe UI" w:eastAsia="Times New Roman" w:hAnsi="Segoe UI" w:cs="Segoe UI"/>
      <w:sz w:val="18"/>
      <w:szCs w:val="18"/>
      <w:lang w:val="uk-UA" w:eastAsia="uk-UA" w:bidi="uk-UA"/>
    </w:rPr>
  </w:style>
  <w:style w:type="table" w:styleId="a8">
    <w:name w:val="Table Grid"/>
    <w:basedOn w:val="a1"/>
    <w:uiPriority w:val="39"/>
    <w:rsid w:val="00DE24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DE24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24AB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DE24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24AB"/>
    <w:rPr>
      <w:rFonts w:ascii="Times New Roman" w:eastAsia="Times New Roman" w:hAnsi="Times New Roman" w:cs="Times New Roman"/>
      <w:lang w:val="uk-UA" w:eastAsia="uk-UA" w:bidi="uk-UA"/>
    </w:rPr>
  </w:style>
  <w:style w:type="paragraph" w:styleId="ad">
    <w:name w:val="No Spacing"/>
    <w:uiPriority w:val="1"/>
    <w:qFormat/>
    <w:rsid w:val="00052ADA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table" w:styleId="2-3">
    <w:name w:val="Medium List 2 Accent 3"/>
    <w:basedOn w:val="a1"/>
    <w:uiPriority w:val="66"/>
    <w:semiHidden/>
    <w:unhideWhenUsed/>
    <w:rsid w:val="00052ADA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8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toenergy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vitoenergy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Товариство з обмеженою відповідальністю</vt:lpstr>
    </vt:vector>
  </TitlesOfParts>
  <Company>Microsoft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Товариство з обмеженою відповідальністю</dc:title>
  <dc:creator>KurmazA</dc:creator>
  <cp:lastModifiedBy>12</cp:lastModifiedBy>
  <cp:revision>24</cp:revision>
  <cp:lastPrinted>2020-03-10T15:24:00Z</cp:lastPrinted>
  <dcterms:created xsi:type="dcterms:W3CDTF">2023-07-17T11:01:00Z</dcterms:created>
  <dcterms:modified xsi:type="dcterms:W3CDTF">2025-12-29T16:45:00Z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2019-10-04T00:00:00Z</vt:filetime>
  </property>
</Properties>
</file>