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250"/>
      </w:tblGrid>
      <w:tr w:rsidR="00DE24AB" w:rsidRPr="00BD565A" w:rsidTr="00F92D4A">
        <w:tc>
          <w:tcPr>
            <w:tcW w:w="10881" w:type="dxa"/>
          </w:tcPr>
          <w:p w:rsidR="00F92D4A" w:rsidRPr="00C2039A" w:rsidRDefault="00F92D4A" w:rsidP="00F92D4A">
            <w:pPr>
              <w:ind w:left="6521"/>
              <w:jc w:val="both"/>
              <w:rPr>
                <w:b/>
              </w:rPr>
            </w:pPr>
            <w:r w:rsidRPr="00C2039A">
              <w:rPr>
                <w:b/>
              </w:rPr>
              <w:t xml:space="preserve">Додаток № </w:t>
            </w:r>
            <w:r w:rsidRPr="00C2039A">
              <w:rPr>
                <w:b/>
                <w:lang w:val="ru-RU"/>
              </w:rPr>
              <w:t>2</w:t>
            </w:r>
            <w:r w:rsidRPr="00C2039A">
              <w:rPr>
                <w:b/>
              </w:rPr>
              <w:t xml:space="preserve"> до договору постачання електричної енергії споживачу </w:t>
            </w:r>
            <w:r w:rsidRPr="00C2039A">
              <w:rPr>
                <w:b/>
                <w:sz w:val="24"/>
                <w:szCs w:val="24"/>
              </w:rPr>
              <w:t xml:space="preserve"> </w:t>
            </w:r>
            <w:r w:rsidRPr="00C2039A">
              <w:rPr>
                <w:b/>
              </w:rPr>
              <w:t>«Комерційні умови постачання електроенергії споживачу»</w:t>
            </w:r>
          </w:p>
          <w:p w:rsidR="00DE24AB" w:rsidRPr="00500D86" w:rsidRDefault="00DE24AB" w:rsidP="00FA431F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DE24AB" w:rsidRDefault="00DE24AB" w:rsidP="00867583">
            <w:pPr>
              <w:jc w:val="right"/>
            </w:pPr>
          </w:p>
          <w:p w:rsidR="00F255DC" w:rsidRPr="00BD565A" w:rsidRDefault="00F255DC" w:rsidP="00867583">
            <w:pPr>
              <w:jc w:val="right"/>
            </w:pPr>
          </w:p>
        </w:tc>
      </w:tr>
    </w:tbl>
    <w:p w:rsidR="008E1E57" w:rsidRPr="00F92D4A" w:rsidRDefault="00FA431F" w:rsidP="00CA2D33">
      <w:pPr>
        <w:pStyle w:val="a3"/>
        <w:ind w:left="0"/>
        <w:jc w:val="center"/>
        <w:rPr>
          <w:b/>
          <w:lang w:val="ru-RU"/>
        </w:rPr>
      </w:pPr>
      <w:r w:rsidRPr="00F92D4A">
        <w:rPr>
          <w:b/>
        </w:rPr>
        <w:t>Комерційна пропозиція</w:t>
      </w:r>
      <w:r w:rsidR="00F255DC" w:rsidRPr="00F92D4A">
        <w:rPr>
          <w:b/>
        </w:rPr>
        <w:t xml:space="preserve"> </w:t>
      </w:r>
    </w:p>
    <w:p w:rsidR="00CA2D33" w:rsidRPr="00F92D4A" w:rsidRDefault="00CA2D33" w:rsidP="00CA2D33">
      <w:pPr>
        <w:pStyle w:val="a3"/>
        <w:ind w:left="0"/>
        <w:jc w:val="center"/>
        <w:rPr>
          <w:b/>
          <w:lang w:val="ru-RU"/>
        </w:rPr>
      </w:pPr>
    </w:p>
    <w:p w:rsidR="00FA431F" w:rsidRPr="00F92D4A" w:rsidRDefault="00FA431F" w:rsidP="00CA2D33">
      <w:pPr>
        <w:ind w:left="1713" w:right="1761"/>
        <w:jc w:val="center"/>
      </w:pPr>
      <w:r w:rsidRPr="00F92D4A">
        <w:t>Постачальника електричної енергії: ТОВ «ВІТО ЕНЕРДЖИ»</w:t>
      </w:r>
    </w:p>
    <w:p w:rsidR="00FA431F" w:rsidRPr="00F92D4A" w:rsidRDefault="00FA431F" w:rsidP="00CA2D33">
      <w:pPr>
        <w:spacing w:before="1"/>
        <w:ind w:left="1713" w:right="1755"/>
        <w:jc w:val="center"/>
        <w:rPr>
          <w:lang w:val="ru-RU"/>
        </w:rPr>
      </w:pPr>
      <w:r w:rsidRPr="00F92D4A">
        <w:t>(основні критерії комерційних умов постачання електроенергії)</w:t>
      </w:r>
    </w:p>
    <w:p w:rsidR="00CA2D33" w:rsidRPr="00F92D4A" w:rsidRDefault="00CA2D33" w:rsidP="00CA2D33">
      <w:pPr>
        <w:spacing w:before="1"/>
        <w:ind w:left="1713" w:right="1755"/>
        <w:jc w:val="center"/>
        <w:rPr>
          <w:lang w:val="ru-RU"/>
        </w:rPr>
      </w:pPr>
    </w:p>
    <w:p w:rsidR="00FA431F" w:rsidRPr="00F92D4A" w:rsidRDefault="00FA431F" w:rsidP="00CA2D33">
      <w:pPr>
        <w:pStyle w:val="2"/>
        <w:numPr>
          <w:ilvl w:val="0"/>
          <w:numId w:val="1"/>
        </w:numPr>
        <w:tabs>
          <w:tab w:val="left" w:pos="335"/>
        </w:tabs>
        <w:spacing w:before="0"/>
        <w:ind w:hanging="222"/>
      </w:pPr>
      <w:r w:rsidRPr="00F92D4A">
        <w:t>Застосовується у сукупності таких</w:t>
      </w:r>
      <w:r w:rsidRPr="00F92D4A">
        <w:rPr>
          <w:lang w:val="ru-RU"/>
        </w:rPr>
        <w:t xml:space="preserve"> </w:t>
      </w:r>
      <w:r w:rsidRPr="00F92D4A">
        <w:t>умов: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42"/>
        </w:tabs>
        <w:spacing w:before="42"/>
        <w:ind w:hanging="429"/>
      </w:pPr>
      <w:r w:rsidRPr="00F92D4A">
        <w:t>Споживач не є побутовим.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42"/>
        </w:tabs>
        <w:ind w:hanging="429"/>
      </w:pPr>
      <w:r w:rsidRPr="00F92D4A">
        <w:t>Споживач самостійно оплачує послуги з розподілу електричної енергії відповідному</w:t>
      </w:r>
      <w:r w:rsidRPr="00F92D4A">
        <w:rPr>
          <w:lang w:val="ru-RU"/>
        </w:rPr>
        <w:t xml:space="preserve"> </w:t>
      </w:r>
      <w:r w:rsidRPr="00F92D4A">
        <w:t>ОСР.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42"/>
        </w:tabs>
        <w:ind w:hanging="429"/>
      </w:pPr>
      <w:r w:rsidRPr="00F92D4A">
        <w:t>Постачальник самостійно оплачує послуги з передачі електричної енергії відповідному</w:t>
      </w:r>
      <w:r w:rsidRPr="00F92D4A">
        <w:rPr>
          <w:lang w:val="ru-RU"/>
        </w:rPr>
        <w:t xml:space="preserve"> </w:t>
      </w:r>
      <w:r w:rsidRPr="00F92D4A">
        <w:t>ОСП.</w:t>
      </w:r>
    </w:p>
    <w:p w:rsidR="00FA431F" w:rsidRPr="00F92D4A" w:rsidRDefault="00052ADA" w:rsidP="00CA2D33">
      <w:pPr>
        <w:pStyle w:val="a4"/>
        <w:numPr>
          <w:ilvl w:val="1"/>
          <w:numId w:val="1"/>
        </w:numPr>
        <w:tabs>
          <w:tab w:val="left" w:pos="542"/>
        </w:tabs>
        <w:spacing w:before="2"/>
        <w:ind w:hanging="429"/>
      </w:pPr>
      <w:r w:rsidRPr="00F92D4A">
        <w:t>Наявність у Споживача системи АСКОЕ/ЛУЗОД, яка відповідає вимогам Кодексу комерційного обліку електричної енергії (акт введення в промислову експлуатацію системи та наявність свідоцтва про метрологічну повірку).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42"/>
        </w:tabs>
        <w:ind w:hanging="429"/>
      </w:pPr>
      <w:r w:rsidRPr="00F92D4A">
        <w:t>Ця</w:t>
      </w:r>
      <w:r w:rsidRPr="00F92D4A">
        <w:rPr>
          <w:lang w:val="ru-RU"/>
        </w:rPr>
        <w:t xml:space="preserve"> </w:t>
      </w:r>
      <w:r w:rsidRPr="00F92D4A">
        <w:t>комерційна</w:t>
      </w:r>
      <w:r w:rsidRPr="00F92D4A">
        <w:rPr>
          <w:lang w:val="ru-RU"/>
        </w:rPr>
        <w:t xml:space="preserve"> </w:t>
      </w:r>
      <w:r w:rsidRPr="00F92D4A">
        <w:t>пропозиція</w:t>
      </w:r>
      <w:r w:rsidRPr="00F92D4A">
        <w:rPr>
          <w:lang w:val="ru-RU"/>
        </w:rPr>
        <w:t xml:space="preserve"> </w:t>
      </w:r>
      <w:r w:rsidRPr="00F92D4A">
        <w:t>оформлюється</w:t>
      </w:r>
      <w:r w:rsidRPr="00F92D4A">
        <w:rPr>
          <w:lang w:val="ru-RU"/>
        </w:rPr>
        <w:t xml:space="preserve"> </w:t>
      </w:r>
      <w:r w:rsidRPr="00F92D4A">
        <w:t>сторонами</w:t>
      </w:r>
      <w:r w:rsidRPr="00F92D4A">
        <w:rPr>
          <w:lang w:val="ru-RU"/>
        </w:rPr>
        <w:t xml:space="preserve"> </w:t>
      </w:r>
      <w:r w:rsidRPr="00F92D4A">
        <w:t>в</w:t>
      </w:r>
      <w:r w:rsidRPr="00F92D4A">
        <w:rPr>
          <w:lang w:val="ru-RU"/>
        </w:rPr>
        <w:t xml:space="preserve"> </w:t>
      </w:r>
      <w:r w:rsidRPr="00F92D4A">
        <w:t>письмовій</w:t>
      </w:r>
      <w:r w:rsidRPr="00F92D4A">
        <w:rPr>
          <w:lang w:val="ru-RU"/>
        </w:rPr>
        <w:t xml:space="preserve"> </w:t>
      </w:r>
      <w:r w:rsidRPr="00F92D4A">
        <w:t>формі</w:t>
      </w:r>
      <w:r w:rsidRPr="00F92D4A">
        <w:rPr>
          <w:lang w:val="ru-RU"/>
        </w:rPr>
        <w:t xml:space="preserve"> </w:t>
      </w:r>
      <w:r w:rsidRPr="00F92D4A">
        <w:t>у</w:t>
      </w:r>
      <w:r w:rsidRPr="00F92D4A">
        <w:rPr>
          <w:lang w:val="ru-RU"/>
        </w:rPr>
        <w:t xml:space="preserve"> </w:t>
      </w:r>
      <w:r w:rsidRPr="00F92D4A">
        <w:t>вигляді</w:t>
      </w:r>
      <w:r w:rsidRPr="00F92D4A">
        <w:rPr>
          <w:lang w:val="ru-RU"/>
        </w:rPr>
        <w:t xml:space="preserve"> </w:t>
      </w:r>
      <w:r w:rsidRPr="00F92D4A">
        <w:t>Додатку№1</w:t>
      </w:r>
    </w:p>
    <w:p w:rsidR="00FA431F" w:rsidRPr="00F92D4A" w:rsidRDefault="00FA431F" w:rsidP="00CA2D33">
      <w:pPr>
        <w:spacing w:before="1"/>
        <w:ind w:left="541"/>
      </w:pPr>
      <w:r w:rsidRPr="00F92D4A">
        <w:t>«</w:t>
      </w:r>
      <w:r w:rsidRPr="00F92D4A">
        <w:rPr>
          <w:i/>
        </w:rPr>
        <w:t>Комерційні умови постачання електричної енергії споживачу</w:t>
      </w:r>
      <w:r w:rsidRPr="00F92D4A">
        <w:t>» до договору поставки.</w:t>
      </w:r>
    </w:p>
    <w:p w:rsidR="00FA431F" w:rsidRPr="00F92D4A" w:rsidRDefault="00FA431F" w:rsidP="00CA2D33">
      <w:pPr>
        <w:pStyle w:val="2"/>
        <w:numPr>
          <w:ilvl w:val="0"/>
          <w:numId w:val="1"/>
        </w:numPr>
        <w:tabs>
          <w:tab w:val="left" w:pos="335"/>
        </w:tabs>
        <w:ind w:hanging="222"/>
      </w:pPr>
      <w:r w:rsidRPr="00F92D4A">
        <w:t>Ціна і умови оплати за</w:t>
      </w:r>
      <w:r w:rsidRPr="00F92D4A">
        <w:rPr>
          <w:lang w:val="ru-RU"/>
        </w:rPr>
        <w:t xml:space="preserve"> </w:t>
      </w:r>
      <w:r w:rsidRPr="00F92D4A">
        <w:t>електроенергію:</w:t>
      </w:r>
    </w:p>
    <w:p w:rsidR="00FE4BE0" w:rsidRPr="00F92D4A" w:rsidRDefault="00FE4BE0" w:rsidP="00CA2D33">
      <w:pPr>
        <w:pStyle w:val="a4"/>
        <w:numPr>
          <w:ilvl w:val="1"/>
          <w:numId w:val="1"/>
        </w:numPr>
        <w:tabs>
          <w:tab w:val="left" w:pos="500"/>
        </w:tabs>
        <w:spacing w:before="92"/>
        <w:ind w:left="500" w:hanging="387"/>
      </w:pPr>
      <w:r w:rsidRPr="00F92D4A">
        <w:t xml:space="preserve">Вартість електроенергії для Споживача за розрахунковий період (місяць) визначається на рівні фактичної вартості електроенергії, придбаної Постачальником у цей період для потреб об’єктів Споживача на Ринку «на добу наперед» (РДН) з урахуванням </w:t>
      </w:r>
      <w:r w:rsidR="0056324C" w:rsidRPr="00F92D4A">
        <w:t>погодин</w:t>
      </w:r>
      <w:r w:rsidR="00E21DF4" w:rsidRPr="00F92D4A">
        <w:t xml:space="preserve">них </w:t>
      </w:r>
      <w:r w:rsidRPr="00F92D4A">
        <w:t xml:space="preserve">цін на РДН, збільшеної на тариф передачі НЕК «Укренерго» (ОСП), величину винагороди Постачальника, та офіційні податки і збори. 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00"/>
        </w:tabs>
        <w:spacing w:before="92"/>
        <w:ind w:left="500" w:hanging="387"/>
      </w:pPr>
      <w:r w:rsidRPr="00F92D4A">
        <w:t>Величина винагороди* Постачальника (ТОВ «</w:t>
      </w:r>
      <w:r w:rsidRPr="00F92D4A">
        <w:rPr>
          <w:lang w:val="ru-RU"/>
        </w:rPr>
        <w:t>В</w:t>
      </w:r>
      <w:r w:rsidRPr="00F92D4A">
        <w:t>ІТО ЕНЕРДЖИ») становить,%:</w:t>
      </w:r>
    </w:p>
    <w:p w:rsidR="00FA431F" w:rsidRPr="00F92D4A" w:rsidRDefault="00FA431F" w:rsidP="00CA2D33">
      <w:pPr>
        <w:pStyle w:val="a3"/>
        <w:spacing w:before="4"/>
        <w:ind w:left="0"/>
        <w:jc w:val="left"/>
      </w:pPr>
    </w:p>
    <w:tbl>
      <w:tblPr>
        <w:tblStyle w:val="TableNormal"/>
        <w:tblW w:w="97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844"/>
        <w:gridCol w:w="1397"/>
        <w:gridCol w:w="1397"/>
        <w:gridCol w:w="1397"/>
        <w:gridCol w:w="1397"/>
      </w:tblGrid>
      <w:tr w:rsidR="00FA431F" w:rsidRPr="00F92D4A" w:rsidTr="00F92D4A">
        <w:trPr>
          <w:trHeight w:val="663"/>
          <w:jc w:val="center"/>
        </w:trPr>
        <w:tc>
          <w:tcPr>
            <w:tcW w:w="1349" w:type="dxa"/>
            <w:vMerge w:val="restart"/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121"/>
            </w:pPr>
            <w:r w:rsidRPr="00F92D4A">
              <w:t>Винагорода</w:t>
            </w:r>
          </w:p>
          <w:p w:rsidR="00FA431F" w:rsidRPr="00F92D4A" w:rsidRDefault="00FA431F" w:rsidP="00CA2D33">
            <w:pPr>
              <w:pStyle w:val="TableParagraph"/>
              <w:spacing w:line="240" w:lineRule="auto"/>
              <w:ind w:right="121"/>
            </w:pPr>
            <w:r w:rsidRPr="00F92D4A">
              <w:t>постачальника</w:t>
            </w:r>
          </w:p>
        </w:tc>
        <w:tc>
          <w:tcPr>
            <w:tcW w:w="2844" w:type="dxa"/>
            <w:vMerge w:val="restart"/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8" w:right="100"/>
            </w:pPr>
            <w:r w:rsidRPr="00F92D4A">
              <w:t xml:space="preserve">Місячне споживання за усіма </w:t>
            </w:r>
          </w:p>
          <w:p w:rsidR="00FA431F" w:rsidRPr="00F92D4A" w:rsidRDefault="00FA431F" w:rsidP="00CA2D33">
            <w:pPr>
              <w:pStyle w:val="TableParagraph"/>
              <w:spacing w:line="240" w:lineRule="auto"/>
              <w:ind w:left="128" w:right="100"/>
            </w:pPr>
            <w:r w:rsidRPr="00F92D4A">
              <w:t xml:space="preserve">об’єктами ( </w:t>
            </w:r>
            <w:proofErr w:type="spellStart"/>
            <w:r w:rsidRPr="00F92D4A">
              <w:t>МВт.год</w:t>
            </w:r>
            <w:proofErr w:type="spellEnd"/>
            <w:r w:rsidRPr="00F92D4A">
              <w:t>)</w:t>
            </w:r>
          </w:p>
        </w:tc>
        <w:tc>
          <w:tcPr>
            <w:tcW w:w="5588" w:type="dxa"/>
            <w:gridSpan w:val="4"/>
            <w:tcBorders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56" w:right="129"/>
            </w:pPr>
            <w:r w:rsidRPr="00F92D4A">
              <w:t>Умови оплати за розрахунковий період (РП)</w:t>
            </w:r>
          </w:p>
          <w:p w:rsidR="00FA431F" w:rsidRPr="00F92D4A" w:rsidRDefault="00FA431F" w:rsidP="00CA2D33">
            <w:pPr>
              <w:pStyle w:val="TableParagraph"/>
              <w:spacing w:line="240" w:lineRule="auto"/>
              <w:ind w:left="159" w:right="129"/>
            </w:pPr>
            <w:r w:rsidRPr="00F92D4A">
              <w:t>у % відношенні від вартості заявленого обсягу**</w:t>
            </w:r>
          </w:p>
        </w:tc>
      </w:tr>
      <w:tr w:rsidR="00FA431F" w:rsidRPr="00F92D4A" w:rsidTr="00F92D4A">
        <w:trPr>
          <w:trHeight w:val="255"/>
          <w:jc w:val="center"/>
        </w:trPr>
        <w:tc>
          <w:tcPr>
            <w:tcW w:w="1349" w:type="dxa"/>
            <w:vMerge/>
            <w:tcBorders>
              <w:top w:val="nil"/>
            </w:tcBorders>
          </w:tcPr>
          <w:p w:rsidR="00FA431F" w:rsidRPr="00F92D4A" w:rsidRDefault="00FA431F" w:rsidP="00CA2D33"/>
        </w:tc>
        <w:tc>
          <w:tcPr>
            <w:tcW w:w="2844" w:type="dxa"/>
            <w:vMerge/>
            <w:tcBorders>
              <w:top w:val="nil"/>
            </w:tcBorders>
          </w:tcPr>
          <w:p w:rsidR="00FA431F" w:rsidRPr="00F92D4A" w:rsidRDefault="00FA431F" w:rsidP="00CA2D33"/>
        </w:tc>
        <w:tc>
          <w:tcPr>
            <w:tcW w:w="1397" w:type="dxa"/>
            <w:tcBorders>
              <w:top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8"/>
            </w:pPr>
            <w:r w:rsidRPr="00F92D4A">
              <w:t>за 5 діб до РП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61" w:right="131"/>
            </w:pPr>
            <w:r w:rsidRPr="00F92D4A">
              <w:t>до 5 числа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11" w:right="79"/>
            </w:pPr>
            <w:r w:rsidRPr="00F92D4A">
              <w:t>до 10 числа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09" w:right="68"/>
            </w:pPr>
            <w:r w:rsidRPr="00F92D4A">
              <w:t>до 15 числа</w:t>
            </w:r>
          </w:p>
        </w:tc>
      </w:tr>
      <w:tr w:rsidR="00FA431F" w:rsidRPr="00F92D4A" w:rsidTr="00F92D4A">
        <w:trPr>
          <w:trHeight w:val="241"/>
          <w:jc w:val="center"/>
        </w:trPr>
        <w:tc>
          <w:tcPr>
            <w:tcW w:w="1349" w:type="dxa"/>
            <w:tcBorders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</w:rPr>
            </w:pPr>
            <w:r w:rsidRPr="00F92D4A">
              <w:rPr>
                <w:b/>
                <w:lang w:val="ru-RU"/>
              </w:rPr>
              <w:t>1.</w:t>
            </w:r>
            <w:r w:rsidRPr="00F92D4A">
              <w:rPr>
                <w:b/>
                <w:lang w:val="en-US"/>
              </w:rPr>
              <w:t>5</w:t>
            </w:r>
            <w:r w:rsidRPr="00F92D4A">
              <w:rPr>
                <w:b/>
              </w:rPr>
              <w:t xml:space="preserve"> %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8" w:right="97"/>
            </w:pPr>
            <w:r w:rsidRPr="00F92D4A">
              <w:t>Більше 900</w:t>
            </w:r>
          </w:p>
        </w:tc>
        <w:tc>
          <w:tcPr>
            <w:tcW w:w="1397" w:type="dxa"/>
            <w:tcBorders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6"/>
            </w:pPr>
            <w:r w:rsidRPr="00F92D4A">
              <w:rPr>
                <w:lang w:val="en-US"/>
              </w:rPr>
              <w:t>100</w:t>
            </w:r>
            <w:r w:rsidRPr="00F92D4A">
              <w:t>%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61" w:right="131"/>
              <w:rPr>
                <w:lang w:val="en-US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09" w:right="67"/>
              <w:rPr>
                <w:lang w:val="en-US"/>
              </w:rPr>
            </w:pPr>
          </w:p>
        </w:tc>
      </w:tr>
      <w:tr w:rsidR="00FA431F" w:rsidRPr="00F92D4A" w:rsidTr="00F92D4A">
        <w:trPr>
          <w:trHeight w:val="239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</w:rPr>
            </w:pPr>
            <w:r w:rsidRPr="00F92D4A">
              <w:rPr>
                <w:b/>
                <w:lang w:val="ru-RU"/>
              </w:rPr>
              <w:t>2</w:t>
            </w:r>
            <w:r w:rsidRPr="00F92D4A">
              <w:rPr>
                <w:b/>
              </w:rPr>
              <w:t xml:space="preserve"> %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8" w:right="98"/>
            </w:pPr>
            <w:r w:rsidRPr="00F92D4A">
              <w:t>Більше 900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6"/>
              <w:rPr>
                <w:lang w:val="ru-RU"/>
              </w:rPr>
            </w:pPr>
            <w:r w:rsidRPr="00F92D4A">
              <w:rPr>
                <w:lang w:val="en-US"/>
              </w:rPr>
              <w:t>40</w:t>
            </w:r>
            <w:r w:rsidRPr="00F92D4A">
              <w:rPr>
                <w:lang w:val="ru-RU"/>
              </w:rPr>
              <w:t>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61" w:right="131"/>
            </w:pPr>
            <w:r w:rsidRPr="00F92D4A">
              <w:rPr>
                <w:lang w:val="en-US"/>
              </w:rPr>
              <w:t>30</w:t>
            </w:r>
            <w:r w:rsidRPr="00F92D4A">
              <w:t>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09" w:right="67"/>
            </w:pPr>
            <w:r w:rsidRPr="00F92D4A">
              <w:rPr>
                <w:lang w:val="en-US"/>
              </w:rPr>
              <w:t>3</w:t>
            </w:r>
            <w:r w:rsidRPr="00F92D4A">
              <w:rPr>
                <w:lang w:val="ru-RU"/>
              </w:rPr>
              <w:t>0</w:t>
            </w:r>
            <w:r w:rsidRPr="00F92D4A">
              <w:t>%</w:t>
            </w:r>
          </w:p>
        </w:tc>
      </w:tr>
      <w:tr w:rsidR="00FA431F" w:rsidRPr="00F92D4A" w:rsidTr="00F92D4A">
        <w:trPr>
          <w:trHeight w:val="241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</w:rPr>
            </w:pPr>
            <w:r w:rsidRPr="00F92D4A">
              <w:rPr>
                <w:b/>
                <w:lang w:val="ru-RU"/>
              </w:rPr>
              <w:t>2</w:t>
            </w:r>
            <w:r w:rsidRPr="00F92D4A">
              <w:rPr>
                <w:b/>
              </w:rPr>
              <w:t xml:space="preserve"> %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8" w:right="98"/>
            </w:pPr>
            <w:r w:rsidRPr="00F92D4A">
              <w:t>Від 200 до 900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6"/>
            </w:pPr>
            <w:r w:rsidRPr="00F92D4A">
              <w:t>50%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11" w:right="78"/>
            </w:pPr>
            <w:r w:rsidRPr="00F92D4A">
              <w:t>50%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</w:pPr>
          </w:p>
        </w:tc>
      </w:tr>
      <w:tr w:rsidR="00FA431F" w:rsidRPr="00F92D4A" w:rsidTr="00F92D4A">
        <w:trPr>
          <w:trHeight w:val="242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</w:rPr>
            </w:pPr>
            <w:r w:rsidRPr="00F92D4A">
              <w:rPr>
                <w:b/>
                <w:lang w:val="ru-RU"/>
              </w:rPr>
              <w:t>2,5</w:t>
            </w:r>
            <w:r w:rsidRPr="00F92D4A">
              <w:rPr>
                <w:b/>
              </w:rPr>
              <w:t xml:space="preserve"> %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8" w:right="100"/>
            </w:pPr>
            <w:r w:rsidRPr="00F92D4A">
              <w:t>від 200 до 900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6"/>
              <w:rPr>
                <w:lang w:val="ru-RU"/>
              </w:rPr>
            </w:pPr>
            <w:r w:rsidRPr="00F92D4A">
              <w:rPr>
                <w:lang w:val="ru-RU"/>
              </w:rPr>
              <w:t>25%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61" w:right="131"/>
            </w:pPr>
            <w:r w:rsidRPr="00F92D4A">
              <w:rPr>
                <w:lang w:val="ru-RU"/>
              </w:rPr>
              <w:t>25</w:t>
            </w:r>
            <w:r w:rsidRPr="00F92D4A">
              <w:t>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rPr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09" w:right="67"/>
            </w:pPr>
            <w:r w:rsidRPr="00F92D4A">
              <w:rPr>
                <w:lang w:val="ru-RU"/>
              </w:rPr>
              <w:t>50</w:t>
            </w:r>
            <w:r w:rsidRPr="00F92D4A">
              <w:t>%</w:t>
            </w:r>
          </w:p>
        </w:tc>
      </w:tr>
      <w:tr w:rsidR="00FA431F" w:rsidRPr="00F92D4A" w:rsidTr="00F92D4A">
        <w:trPr>
          <w:trHeight w:val="241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</w:rPr>
            </w:pPr>
            <w:r w:rsidRPr="00F92D4A">
              <w:rPr>
                <w:b/>
              </w:rPr>
              <w:t>3 %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7" w:right="100"/>
            </w:pPr>
            <w:r w:rsidRPr="00F92D4A">
              <w:t>до 200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6"/>
            </w:pPr>
            <w:r w:rsidRPr="00F92D4A">
              <w:t>100%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</w:pPr>
          </w:p>
        </w:tc>
      </w:tr>
      <w:tr w:rsidR="00FA431F" w:rsidRPr="00F92D4A" w:rsidTr="00F92D4A">
        <w:trPr>
          <w:trHeight w:val="241"/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</w:rPr>
            </w:pPr>
            <w:r w:rsidRPr="00F92D4A">
              <w:rPr>
                <w:b/>
              </w:rPr>
              <w:t>4 %</w:t>
            </w:r>
          </w:p>
        </w:tc>
        <w:tc>
          <w:tcPr>
            <w:tcW w:w="2844" w:type="dxa"/>
            <w:tcBorders>
              <w:top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28" w:right="97"/>
            </w:pPr>
            <w:r w:rsidRPr="00F92D4A">
              <w:t>до 200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37" w:right="116"/>
              <w:rPr>
                <w:lang w:val="en-US"/>
              </w:rPr>
            </w:pPr>
            <w:r w:rsidRPr="00F92D4A">
              <w:rPr>
                <w:lang w:val="en-US"/>
              </w:rPr>
              <w:t>25%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61" w:right="131"/>
            </w:pPr>
            <w:r w:rsidRPr="00F92D4A">
              <w:rPr>
                <w:lang w:val="en-US"/>
              </w:rPr>
              <w:t>25</w:t>
            </w:r>
            <w:r w:rsidRPr="00F92D4A">
              <w:t>%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rPr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431F" w:rsidRPr="00F92D4A" w:rsidRDefault="00FA431F" w:rsidP="00CA2D33">
            <w:pPr>
              <w:pStyle w:val="TableParagraph"/>
              <w:spacing w:line="240" w:lineRule="auto"/>
              <w:ind w:left="109" w:right="67"/>
            </w:pPr>
            <w:r w:rsidRPr="00F92D4A">
              <w:rPr>
                <w:lang w:val="en-US"/>
              </w:rPr>
              <w:t>50</w:t>
            </w:r>
            <w:r w:rsidRPr="00F92D4A">
              <w:t>%</w:t>
            </w:r>
          </w:p>
        </w:tc>
      </w:tr>
      <w:tr w:rsidR="00CA2D33" w:rsidRPr="00F92D4A" w:rsidTr="00F92D4A">
        <w:trPr>
          <w:trHeight w:val="241"/>
          <w:jc w:val="center"/>
        </w:trPr>
        <w:tc>
          <w:tcPr>
            <w:tcW w:w="1349" w:type="dxa"/>
            <w:tcBorders>
              <w:top w:val="single" w:sz="4" w:space="0" w:color="000000"/>
            </w:tcBorders>
          </w:tcPr>
          <w:p w:rsidR="00CA2D33" w:rsidRPr="00F92D4A" w:rsidRDefault="00CA2D33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  <w:lang w:val="ru-RU"/>
              </w:rPr>
            </w:pPr>
          </w:p>
          <w:p w:rsidR="00CA2D33" w:rsidRPr="00F92D4A" w:rsidRDefault="00CA2D33" w:rsidP="00CA2D33">
            <w:pPr>
              <w:pStyle w:val="TableParagraph"/>
              <w:spacing w:line="240" w:lineRule="auto"/>
              <w:ind w:right="610"/>
              <w:jc w:val="right"/>
              <w:rPr>
                <w:b/>
                <w:lang w:val="ru-RU"/>
              </w:rPr>
            </w:pPr>
          </w:p>
        </w:tc>
        <w:tc>
          <w:tcPr>
            <w:tcW w:w="2844" w:type="dxa"/>
            <w:tcBorders>
              <w:top w:val="single" w:sz="4" w:space="0" w:color="000000"/>
            </w:tcBorders>
          </w:tcPr>
          <w:p w:rsidR="00CA2D33" w:rsidRPr="00F92D4A" w:rsidRDefault="00CA2D33" w:rsidP="00CA2D33">
            <w:pPr>
              <w:pStyle w:val="TableParagraph"/>
              <w:spacing w:line="240" w:lineRule="auto"/>
              <w:ind w:left="128" w:right="97"/>
            </w:pPr>
          </w:p>
        </w:tc>
        <w:tc>
          <w:tcPr>
            <w:tcW w:w="1397" w:type="dxa"/>
            <w:tcBorders>
              <w:top w:val="single" w:sz="4" w:space="0" w:color="000000"/>
              <w:right w:val="single" w:sz="4" w:space="0" w:color="000000"/>
            </w:tcBorders>
          </w:tcPr>
          <w:p w:rsidR="00CA2D33" w:rsidRPr="00F92D4A" w:rsidRDefault="00CA2D33" w:rsidP="00CA2D33">
            <w:pPr>
              <w:pStyle w:val="TableParagraph"/>
              <w:spacing w:line="240" w:lineRule="auto"/>
              <w:ind w:left="137" w:right="116"/>
              <w:rPr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33" w:rsidRPr="00F92D4A" w:rsidRDefault="00CA2D33" w:rsidP="00CA2D33">
            <w:pPr>
              <w:pStyle w:val="TableParagraph"/>
              <w:spacing w:line="240" w:lineRule="auto"/>
              <w:ind w:left="161" w:right="131"/>
              <w:rPr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2D33" w:rsidRPr="00F92D4A" w:rsidRDefault="00CA2D33" w:rsidP="00CA2D33">
            <w:pPr>
              <w:pStyle w:val="TableParagraph"/>
              <w:spacing w:line="240" w:lineRule="auto"/>
              <w:rPr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</w:tcPr>
          <w:p w:rsidR="00CA2D33" w:rsidRPr="00F92D4A" w:rsidRDefault="00CA2D33" w:rsidP="00CA2D33">
            <w:pPr>
              <w:pStyle w:val="TableParagraph"/>
              <w:spacing w:line="240" w:lineRule="auto"/>
              <w:ind w:left="109" w:right="67"/>
              <w:rPr>
                <w:lang w:val="en-US"/>
              </w:rPr>
            </w:pPr>
          </w:p>
        </w:tc>
      </w:tr>
    </w:tbl>
    <w:p w:rsidR="00FA431F" w:rsidRPr="00F92D4A" w:rsidRDefault="00FA431F" w:rsidP="00CA2D33">
      <w:pPr>
        <w:pStyle w:val="a3"/>
        <w:spacing w:before="86"/>
        <w:ind w:right="165" w:firstLine="427"/>
      </w:pPr>
      <w:r w:rsidRPr="00F92D4A">
        <w:t>* Винагорода враховує витрати Постачальника на гарантійне фінансове забезпечення для  участі в  РДН і Балансуючому ринку України для цілей закупівлі електроенергії</w:t>
      </w:r>
      <w:r w:rsidRPr="00F92D4A">
        <w:rPr>
          <w:lang w:val="ru-RU"/>
        </w:rPr>
        <w:t xml:space="preserve"> </w:t>
      </w:r>
      <w:r w:rsidRPr="00F92D4A">
        <w:t>Споживачу.</w:t>
      </w:r>
    </w:p>
    <w:p w:rsidR="00FA431F" w:rsidRPr="00F92D4A" w:rsidRDefault="00FA431F" w:rsidP="00CA2D33">
      <w:pPr>
        <w:pStyle w:val="a3"/>
        <w:ind w:right="163" w:firstLine="427"/>
        <w:rPr>
          <w:lang w:val="ru-RU"/>
        </w:rPr>
      </w:pPr>
      <w:r w:rsidRPr="00F92D4A">
        <w:t>** Розрахунок планових платежів визначається за фактичною ціною для Споживача, що склалася за попередні два місяці.</w:t>
      </w:r>
    </w:p>
    <w:p w:rsidR="00CA2D33" w:rsidRPr="00F92D4A" w:rsidRDefault="00CA2D33" w:rsidP="00CA2D33">
      <w:pPr>
        <w:pStyle w:val="a3"/>
        <w:ind w:right="163" w:firstLine="427"/>
        <w:rPr>
          <w:lang w:val="ru-RU"/>
        </w:rPr>
      </w:pP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05"/>
        </w:tabs>
        <w:spacing w:before="46"/>
        <w:ind w:left="113" w:right="156" w:firstLine="0"/>
      </w:pPr>
      <w:r w:rsidRPr="00F92D4A">
        <w:t>Постачальник за підсумками розрахункового місяця надає Споживачу фактичні погодинні ціни на РДН у розрахунковому місяці, та деталізацію фактичної ціни для Споживача за цей період з  врахуванням Балансуючого ринку.</w:t>
      </w:r>
    </w:p>
    <w:p w:rsidR="00CA2D33" w:rsidRPr="00F92D4A" w:rsidRDefault="00CA2D33" w:rsidP="00CA2D33">
      <w:pPr>
        <w:tabs>
          <w:tab w:val="left" w:pos="505"/>
        </w:tabs>
        <w:spacing w:before="46"/>
        <w:ind w:right="156"/>
        <w:rPr>
          <w:lang w:val="ru-RU"/>
        </w:rPr>
      </w:pPr>
    </w:p>
    <w:p w:rsidR="00CA2D33" w:rsidRPr="00F92D4A" w:rsidRDefault="00CA2D33" w:rsidP="00CA2D33">
      <w:pPr>
        <w:tabs>
          <w:tab w:val="left" w:pos="505"/>
        </w:tabs>
        <w:spacing w:before="46"/>
        <w:ind w:right="156"/>
        <w:rPr>
          <w:lang w:val="ru-RU"/>
        </w:rPr>
      </w:pPr>
    </w:p>
    <w:p w:rsidR="00FA431F" w:rsidRPr="00F92D4A" w:rsidRDefault="00FA431F" w:rsidP="00CA2D33">
      <w:pPr>
        <w:pStyle w:val="2"/>
        <w:numPr>
          <w:ilvl w:val="0"/>
          <w:numId w:val="1"/>
        </w:numPr>
        <w:tabs>
          <w:tab w:val="left" w:pos="335"/>
        </w:tabs>
        <w:ind w:hanging="222"/>
      </w:pPr>
      <w:r w:rsidRPr="00F92D4A">
        <w:t>Обсяги</w:t>
      </w:r>
      <w:r w:rsidRPr="00F92D4A">
        <w:rPr>
          <w:lang w:val="en-US"/>
        </w:rPr>
        <w:t xml:space="preserve"> </w:t>
      </w:r>
      <w:r w:rsidRPr="00F92D4A">
        <w:t>електроенергії: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73"/>
        </w:tabs>
        <w:spacing w:before="43"/>
        <w:ind w:left="113" w:right="157" w:firstLine="0"/>
      </w:pPr>
      <w:r w:rsidRPr="00F92D4A">
        <w:t>До початку місяця постачання електроенергії сторони узгоджують місячну та погодинну заявку споживання електроенергії у розрізі календарного місяця. Споживач має право не пізніше 9-00 за дві доби, до доби споживання електричної енергії, скорегувати заявлений погодинний обсяг на добу</w:t>
      </w:r>
      <w:r w:rsidRPr="00F92D4A">
        <w:rPr>
          <w:lang w:val="ru-RU"/>
        </w:rPr>
        <w:t xml:space="preserve"> </w:t>
      </w:r>
      <w:r w:rsidRPr="00F92D4A">
        <w:t>споживання.</w:t>
      </w:r>
    </w:p>
    <w:p w:rsidR="00FA431F" w:rsidRPr="00F92D4A" w:rsidRDefault="00FA431F" w:rsidP="00CA2D33">
      <w:pPr>
        <w:pStyle w:val="a3"/>
        <w:numPr>
          <w:ilvl w:val="1"/>
          <w:numId w:val="1"/>
        </w:numPr>
        <w:rPr>
          <w:lang w:val="ru-RU"/>
        </w:rPr>
      </w:pPr>
      <w:r w:rsidRPr="00F92D4A">
        <w:t xml:space="preserve">Заявка надсилається Споживачем на електронну адресу Постачальника: </w:t>
      </w:r>
      <w:hyperlink r:id="rId7" w:history="1">
        <w:r w:rsidR="00432A65" w:rsidRPr="0094578E">
          <w:rPr>
            <w:rStyle w:val="a5"/>
            <w:lang w:val="en-US"/>
          </w:rPr>
          <w:t>vitoenergy</w:t>
        </w:r>
        <w:r w:rsidR="00432A65" w:rsidRPr="00432A65">
          <w:rPr>
            <w:rStyle w:val="a5"/>
            <w:lang w:val="ru-RU"/>
          </w:rPr>
          <w:t>2@</w:t>
        </w:r>
        <w:r w:rsidR="00432A65" w:rsidRPr="0094578E">
          <w:rPr>
            <w:rStyle w:val="a5"/>
            <w:lang w:val="en-US"/>
          </w:rPr>
          <w:t>gmail</w:t>
        </w:r>
        <w:r w:rsidR="00432A65" w:rsidRPr="00432A65">
          <w:rPr>
            <w:rStyle w:val="a5"/>
            <w:lang w:val="ru-RU"/>
          </w:rPr>
          <w:t>.</w:t>
        </w:r>
        <w:r w:rsidR="00432A65" w:rsidRPr="0094578E">
          <w:rPr>
            <w:rStyle w:val="a5"/>
            <w:lang w:val="en-US"/>
          </w:rPr>
          <w:t>com</w:t>
        </w:r>
      </w:hyperlink>
      <w:r w:rsidR="00432A65">
        <w:t xml:space="preserve"> </w:t>
      </w:r>
    </w:p>
    <w:p w:rsidR="00FA431F" w:rsidRPr="00F92D4A" w:rsidRDefault="00FA431F" w:rsidP="00CA2D33">
      <w:pPr>
        <w:pStyle w:val="2"/>
        <w:numPr>
          <w:ilvl w:val="0"/>
          <w:numId w:val="1"/>
        </w:numPr>
        <w:tabs>
          <w:tab w:val="left" w:pos="335"/>
        </w:tabs>
        <w:spacing w:before="119"/>
        <w:ind w:hanging="222"/>
      </w:pPr>
      <w:r w:rsidRPr="00F92D4A">
        <w:t>Санкції: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00"/>
        </w:tabs>
        <w:spacing w:before="43"/>
        <w:ind w:left="500" w:hanging="387"/>
      </w:pPr>
      <w:r w:rsidRPr="00F92D4A">
        <w:t xml:space="preserve">Штрафні санкції до Споживача за перехід до іншого </w:t>
      </w:r>
      <w:proofErr w:type="spellStart"/>
      <w:r w:rsidRPr="00F92D4A">
        <w:t>електро</w:t>
      </w:r>
      <w:proofErr w:type="spellEnd"/>
      <w:r w:rsidRPr="00F92D4A">
        <w:rPr>
          <w:lang w:val="ru-RU"/>
        </w:rPr>
        <w:t xml:space="preserve"> </w:t>
      </w:r>
      <w:r w:rsidRPr="00F92D4A">
        <w:t xml:space="preserve">постачальника – </w:t>
      </w:r>
      <w:r w:rsidRPr="00F92D4A">
        <w:rPr>
          <w:b/>
        </w:rPr>
        <w:t>непередбачені</w:t>
      </w:r>
      <w:r w:rsidRPr="00F92D4A">
        <w:t>.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56"/>
        </w:tabs>
        <w:ind w:left="113" w:right="162" w:firstLine="0"/>
      </w:pPr>
      <w:r w:rsidRPr="00F92D4A">
        <w:t>Компенсація Споживачу за недотримання комерційної якості послуги з постачання електроенергії надається Постачальником у порядку, визначеному</w:t>
      </w:r>
      <w:r w:rsidRPr="00F92D4A">
        <w:rPr>
          <w:lang w:val="ru-RU"/>
        </w:rPr>
        <w:t xml:space="preserve"> </w:t>
      </w:r>
      <w:r w:rsidRPr="00F92D4A">
        <w:t>НКРЕКП.</w:t>
      </w:r>
    </w:p>
    <w:p w:rsidR="00FA431F" w:rsidRPr="00F92D4A" w:rsidRDefault="00FA431F" w:rsidP="00CA2D33">
      <w:pPr>
        <w:pStyle w:val="a4"/>
        <w:numPr>
          <w:ilvl w:val="1"/>
          <w:numId w:val="1"/>
        </w:numPr>
        <w:tabs>
          <w:tab w:val="left" w:pos="503"/>
        </w:tabs>
        <w:ind w:left="113" w:right="158" w:firstLine="0"/>
      </w:pPr>
      <w:r w:rsidRPr="00F92D4A">
        <w:t>Обсяг перевищення фактичного годинного споживання над замовленим (негативний небаланс) та обсяг перевищення замовленого годинного споживання над фактичним (позитивний небаланс) урегульовується між сторонами за цінами, які сформувалися у відповідний період на Балансуючому ринку</w:t>
      </w:r>
      <w:r w:rsidRPr="00F92D4A">
        <w:rPr>
          <w:lang w:val="ru-RU"/>
        </w:rPr>
        <w:t xml:space="preserve"> </w:t>
      </w:r>
      <w:r w:rsidRPr="00F92D4A">
        <w:t>України.</w:t>
      </w:r>
    </w:p>
    <w:p w:rsidR="00FA431F" w:rsidRDefault="00FA431F" w:rsidP="00CA2D33">
      <w:pPr>
        <w:pStyle w:val="a4"/>
        <w:numPr>
          <w:ilvl w:val="1"/>
          <w:numId w:val="1"/>
        </w:numPr>
        <w:tabs>
          <w:tab w:val="left" w:pos="501"/>
        </w:tabs>
        <w:ind w:left="500" w:hanging="388"/>
      </w:pPr>
      <w:r w:rsidRPr="00F92D4A">
        <w:t>При порушенні строків оплати за електроенергію Постачальник має право нарахувати</w:t>
      </w:r>
      <w:r w:rsidRPr="00F92D4A">
        <w:rPr>
          <w:lang w:val="ru-RU"/>
        </w:rPr>
        <w:t xml:space="preserve"> </w:t>
      </w:r>
      <w:r w:rsidRPr="00F92D4A">
        <w:t>пеню.</w:t>
      </w:r>
    </w:p>
    <w:p w:rsidR="00163183" w:rsidRDefault="00163183" w:rsidP="00163183">
      <w:pPr>
        <w:tabs>
          <w:tab w:val="left" w:pos="501"/>
        </w:tabs>
        <w:ind w:left="112"/>
        <w:rPr>
          <w:lang w:val="ru-RU"/>
        </w:rPr>
      </w:pPr>
    </w:p>
    <w:p w:rsidR="00163183" w:rsidRDefault="00163183" w:rsidP="00163183">
      <w:pPr>
        <w:pStyle w:val="a4"/>
        <w:numPr>
          <w:ilvl w:val="0"/>
          <w:numId w:val="1"/>
        </w:numPr>
        <w:tabs>
          <w:tab w:val="left" w:pos="501"/>
        </w:tabs>
        <w:rPr>
          <w:b/>
          <w:bCs/>
          <w:lang w:val="ru-RU"/>
        </w:rPr>
      </w:pPr>
      <w:proofErr w:type="spellStart"/>
      <w:r w:rsidRPr="00163183">
        <w:rPr>
          <w:b/>
          <w:bCs/>
          <w:lang w:val="ru-RU"/>
        </w:rPr>
        <w:t>Особливості</w:t>
      </w:r>
      <w:proofErr w:type="spellEnd"/>
      <w:r w:rsidRPr="00163183">
        <w:rPr>
          <w:b/>
          <w:bCs/>
          <w:lang w:val="ru-RU"/>
        </w:rPr>
        <w:t xml:space="preserve"> </w:t>
      </w:r>
      <w:proofErr w:type="spellStart"/>
      <w:r w:rsidRPr="00163183">
        <w:rPr>
          <w:b/>
          <w:bCs/>
          <w:lang w:val="ru-RU"/>
        </w:rPr>
        <w:t>врахування</w:t>
      </w:r>
      <w:proofErr w:type="spellEnd"/>
      <w:r w:rsidRPr="00163183">
        <w:rPr>
          <w:b/>
          <w:bCs/>
          <w:lang w:val="ru-RU"/>
        </w:rPr>
        <w:t xml:space="preserve"> </w:t>
      </w:r>
      <w:proofErr w:type="spellStart"/>
      <w:r w:rsidRPr="00163183">
        <w:rPr>
          <w:b/>
          <w:bCs/>
          <w:lang w:val="ru-RU"/>
        </w:rPr>
        <w:t>пільг</w:t>
      </w:r>
      <w:proofErr w:type="spellEnd"/>
      <w:r w:rsidRPr="00163183">
        <w:rPr>
          <w:b/>
          <w:bCs/>
          <w:lang w:val="ru-RU"/>
        </w:rPr>
        <w:t xml:space="preserve">, </w:t>
      </w:r>
      <w:proofErr w:type="spellStart"/>
      <w:r w:rsidRPr="00163183">
        <w:rPr>
          <w:b/>
          <w:bCs/>
          <w:lang w:val="ru-RU"/>
        </w:rPr>
        <w:t>субсидій</w:t>
      </w:r>
      <w:proofErr w:type="spellEnd"/>
      <w:r w:rsidRPr="00163183">
        <w:rPr>
          <w:b/>
          <w:bCs/>
          <w:lang w:val="ru-RU"/>
        </w:rPr>
        <w:t xml:space="preserve"> та </w:t>
      </w:r>
      <w:proofErr w:type="spellStart"/>
      <w:r w:rsidRPr="00163183">
        <w:rPr>
          <w:b/>
          <w:bCs/>
          <w:lang w:val="ru-RU"/>
        </w:rPr>
        <w:t>постачання</w:t>
      </w:r>
      <w:proofErr w:type="spellEnd"/>
      <w:r w:rsidRPr="00163183">
        <w:rPr>
          <w:b/>
          <w:bCs/>
          <w:lang w:val="ru-RU"/>
        </w:rPr>
        <w:t xml:space="preserve"> </w:t>
      </w:r>
      <w:proofErr w:type="spellStart"/>
      <w:r w:rsidRPr="00163183">
        <w:rPr>
          <w:b/>
          <w:bCs/>
          <w:lang w:val="ru-RU"/>
        </w:rPr>
        <w:t>захищеним</w:t>
      </w:r>
      <w:proofErr w:type="spellEnd"/>
      <w:r w:rsidRPr="00163183">
        <w:rPr>
          <w:b/>
          <w:bCs/>
          <w:lang w:val="ru-RU"/>
        </w:rPr>
        <w:t xml:space="preserve"> </w:t>
      </w:r>
      <w:proofErr w:type="spellStart"/>
      <w:r w:rsidRPr="00163183">
        <w:rPr>
          <w:b/>
          <w:bCs/>
          <w:lang w:val="ru-RU"/>
        </w:rPr>
        <w:t>споживачам</w:t>
      </w:r>
      <w:proofErr w:type="spellEnd"/>
      <w:r>
        <w:rPr>
          <w:b/>
          <w:bCs/>
          <w:lang w:val="ru-RU"/>
        </w:rPr>
        <w:t>:</w:t>
      </w:r>
    </w:p>
    <w:p w:rsidR="00163183" w:rsidRDefault="00163183" w:rsidP="00163183">
      <w:pPr>
        <w:tabs>
          <w:tab w:val="left" w:pos="501"/>
        </w:tabs>
        <w:ind w:left="113"/>
        <w:jc w:val="both"/>
        <w:rPr>
          <w:lang w:val="ru-RU"/>
        </w:rPr>
      </w:pPr>
      <w:r w:rsidRPr="00163183">
        <w:rPr>
          <w:lang w:val="ru-RU"/>
        </w:rPr>
        <w:t>5.1</w:t>
      </w:r>
      <w:r>
        <w:rPr>
          <w:lang w:val="ru-RU"/>
        </w:rPr>
        <w:t>.</w:t>
      </w:r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Постачальник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здійснює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врахування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пільг</w:t>
      </w:r>
      <w:proofErr w:type="spellEnd"/>
      <w:r w:rsidRPr="00163183">
        <w:rPr>
          <w:lang w:val="ru-RU"/>
        </w:rPr>
        <w:t xml:space="preserve"> та </w:t>
      </w:r>
      <w:proofErr w:type="spellStart"/>
      <w:r w:rsidRPr="00163183">
        <w:rPr>
          <w:lang w:val="ru-RU"/>
        </w:rPr>
        <w:t>житлових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субсидій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відповідно</w:t>
      </w:r>
      <w:proofErr w:type="spellEnd"/>
      <w:r w:rsidRPr="00163183">
        <w:rPr>
          <w:lang w:val="ru-RU"/>
        </w:rPr>
        <w:t xml:space="preserve"> до </w:t>
      </w:r>
      <w:proofErr w:type="spellStart"/>
      <w:r w:rsidRPr="00163183">
        <w:rPr>
          <w:lang w:val="ru-RU"/>
        </w:rPr>
        <w:t>вимог</w:t>
      </w:r>
      <w:proofErr w:type="spellEnd"/>
      <w:r w:rsidRPr="00163183">
        <w:rPr>
          <w:lang w:val="ru-RU"/>
        </w:rPr>
        <w:t xml:space="preserve"> чинного </w:t>
      </w:r>
      <w:proofErr w:type="spellStart"/>
      <w:r w:rsidRPr="00163183">
        <w:rPr>
          <w:lang w:val="ru-RU"/>
        </w:rPr>
        <w:t>законодавства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України</w:t>
      </w:r>
      <w:proofErr w:type="spellEnd"/>
      <w:r w:rsidRPr="00163183">
        <w:rPr>
          <w:lang w:val="ru-RU"/>
        </w:rPr>
        <w:t xml:space="preserve"> та порядку, </w:t>
      </w:r>
      <w:proofErr w:type="spellStart"/>
      <w:r w:rsidRPr="00163183">
        <w:rPr>
          <w:lang w:val="ru-RU"/>
        </w:rPr>
        <w:t>визначеного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уповноваженими</w:t>
      </w:r>
      <w:proofErr w:type="spellEnd"/>
      <w:r w:rsidRPr="00163183">
        <w:rPr>
          <w:lang w:val="ru-RU"/>
        </w:rPr>
        <w:t xml:space="preserve"> органами.</w:t>
      </w:r>
    </w:p>
    <w:p w:rsidR="00163183" w:rsidRPr="00163183" w:rsidRDefault="00163183" w:rsidP="00163183">
      <w:pPr>
        <w:tabs>
          <w:tab w:val="left" w:pos="501"/>
        </w:tabs>
        <w:ind w:left="113"/>
        <w:jc w:val="both"/>
        <w:rPr>
          <w:lang w:val="ru-RU"/>
        </w:rPr>
      </w:pPr>
      <w:r>
        <w:rPr>
          <w:lang w:val="ru-RU"/>
        </w:rPr>
        <w:t xml:space="preserve">5.2. </w:t>
      </w:r>
      <w:bookmarkStart w:id="0" w:name="_Hlk217926351"/>
      <w:proofErr w:type="spellStart"/>
      <w:r w:rsidRPr="00163183">
        <w:rPr>
          <w:lang w:val="ru-RU"/>
        </w:rPr>
        <w:t>Постачальник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здійснює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постачання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електричної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енергії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захищеним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споживачам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відповідно</w:t>
      </w:r>
      <w:proofErr w:type="spellEnd"/>
      <w:r w:rsidRPr="00163183">
        <w:rPr>
          <w:lang w:val="ru-RU"/>
        </w:rPr>
        <w:t xml:space="preserve"> до </w:t>
      </w:r>
      <w:proofErr w:type="spellStart"/>
      <w:r w:rsidRPr="00163183">
        <w:rPr>
          <w:lang w:val="ru-RU"/>
        </w:rPr>
        <w:t>вимог</w:t>
      </w:r>
      <w:proofErr w:type="spellEnd"/>
      <w:r w:rsidRPr="00163183">
        <w:rPr>
          <w:lang w:val="ru-RU"/>
        </w:rPr>
        <w:t xml:space="preserve"> чинного </w:t>
      </w:r>
      <w:proofErr w:type="spellStart"/>
      <w:r w:rsidRPr="00163183">
        <w:rPr>
          <w:lang w:val="ru-RU"/>
        </w:rPr>
        <w:t>законодавства</w:t>
      </w:r>
      <w:proofErr w:type="spellEnd"/>
      <w:r w:rsidRPr="00163183">
        <w:rPr>
          <w:lang w:val="ru-RU"/>
        </w:rPr>
        <w:t xml:space="preserve"> </w:t>
      </w:r>
      <w:proofErr w:type="spellStart"/>
      <w:r w:rsidRPr="00163183">
        <w:rPr>
          <w:lang w:val="ru-RU"/>
        </w:rPr>
        <w:t>України</w:t>
      </w:r>
      <w:bookmarkEnd w:id="0"/>
      <w:proofErr w:type="spellEnd"/>
      <w:r w:rsidRPr="00163183">
        <w:rPr>
          <w:lang w:val="ru-RU"/>
        </w:rPr>
        <w:t>.</w:t>
      </w:r>
      <w:bookmarkStart w:id="1" w:name="_GoBack"/>
      <w:bookmarkEnd w:id="1"/>
    </w:p>
    <w:p w:rsidR="00FA431F" w:rsidRPr="00163183" w:rsidRDefault="00FA431F" w:rsidP="00CA2D33">
      <w:pPr>
        <w:pStyle w:val="a4"/>
        <w:numPr>
          <w:ilvl w:val="0"/>
          <w:numId w:val="1"/>
        </w:numPr>
        <w:tabs>
          <w:tab w:val="left" w:pos="335"/>
        </w:tabs>
        <w:spacing w:before="114"/>
        <w:ind w:hanging="222"/>
      </w:pPr>
      <w:r w:rsidRPr="00163183">
        <w:rPr>
          <w:b/>
          <w:bCs/>
        </w:rPr>
        <w:t>Період постачання</w:t>
      </w:r>
      <w:r w:rsidRPr="00163183">
        <w:t>: починаючи з 1 числа</w:t>
      </w:r>
      <w:r w:rsidRPr="00163183">
        <w:rPr>
          <w:lang w:val="ru-RU"/>
        </w:rPr>
        <w:t xml:space="preserve"> </w:t>
      </w:r>
      <w:r w:rsidRPr="00163183">
        <w:t>місяця.</w:t>
      </w:r>
    </w:p>
    <w:p w:rsidR="004960EE" w:rsidRPr="00F92D4A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ind w:left="0"/>
        <w:jc w:val="left"/>
      </w:pPr>
    </w:p>
    <w:p w:rsidR="004960EE" w:rsidRDefault="004960EE" w:rsidP="004960EE">
      <w:pPr>
        <w:pStyle w:val="a3"/>
        <w:spacing w:line="360" w:lineRule="auto"/>
        <w:ind w:left="0" w:firstLine="720"/>
        <w:jc w:val="left"/>
        <w:rPr>
          <w:b/>
          <w:sz w:val="28"/>
          <w:szCs w:val="28"/>
        </w:rPr>
      </w:pPr>
    </w:p>
    <w:p w:rsidR="004960EE" w:rsidRDefault="004960EE" w:rsidP="004960EE">
      <w:pPr>
        <w:pStyle w:val="a3"/>
        <w:spacing w:line="360" w:lineRule="auto"/>
        <w:ind w:left="0" w:firstLine="720"/>
        <w:jc w:val="left"/>
        <w:rPr>
          <w:b/>
          <w:sz w:val="24"/>
        </w:rPr>
      </w:pPr>
    </w:p>
    <w:p w:rsidR="008E1E57" w:rsidRPr="008E1E57" w:rsidRDefault="008E1E57" w:rsidP="008E1E57">
      <w:pPr>
        <w:pStyle w:val="a3"/>
        <w:spacing w:line="360" w:lineRule="auto"/>
        <w:ind w:left="0" w:firstLine="720"/>
        <w:jc w:val="left"/>
        <w:rPr>
          <w:rFonts w:ascii="Arial"/>
          <w:sz w:val="26"/>
        </w:rPr>
      </w:pPr>
    </w:p>
    <w:p w:rsidR="009B7978" w:rsidRDefault="009B7978" w:rsidP="0044373C">
      <w:pPr>
        <w:jc w:val="center"/>
        <w:rPr>
          <w:b/>
          <w:sz w:val="28"/>
        </w:rPr>
      </w:pPr>
    </w:p>
    <w:p w:rsidR="00052ADA" w:rsidRPr="00052ADA" w:rsidRDefault="00052ADA" w:rsidP="00052ADA">
      <w:pPr>
        <w:rPr>
          <w:sz w:val="28"/>
        </w:rPr>
      </w:pPr>
    </w:p>
    <w:p w:rsidR="00052ADA" w:rsidRPr="00052ADA" w:rsidRDefault="00052ADA" w:rsidP="00052ADA">
      <w:pPr>
        <w:tabs>
          <w:tab w:val="left" w:pos="3732"/>
        </w:tabs>
        <w:rPr>
          <w:sz w:val="28"/>
        </w:rPr>
      </w:pPr>
    </w:p>
    <w:sectPr w:rsidR="00052ADA" w:rsidRPr="00052ADA" w:rsidSect="00BD565A">
      <w:headerReference w:type="default" r:id="rId8"/>
      <w:footerReference w:type="default" r:id="rId9"/>
      <w:type w:val="continuous"/>
      <w:pgSz w:w="11910" w:h="16840"/>
      <w:pgMar w:top="142" w:right="428" w:bottom="851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1E14" w:rsidRDefault="00CF1E14" w:rsidP="00DE24AB">
      <w:pPr>
        <w:pStyle w:val="a3"/>
      </w:pPr>
      <w:r>
        <w:separator/>
      </w:r>
    </w:p>
  </w:endnote>
  <w:endnote w:type="continuationSeparator" w:id="0">
    <w:p w:rsidR="00CF1E14" w:rsidRDefault="00CF1E14" w:rsidP="00DE24A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565A" w:rsidRDefault="00BD565A" w:rsidP="00BD565A">
    <w:pPr>
      <w:tabs>
        <w:tab w:val="left" w:pos="4908"/>
        <w:tab w:val="left" w:pos="6088"/>
      </w:tabs>
      <w:spacing w:line="0" w:lineRule="atLeast"/>
      <w:ind w:left="148"/>
    </w:pPr>
    <w:r w:rsidRPr="00AC4AAD">
      <w:t>від СПОЖИВАЧА________________</w:t>
    </w:r>
    <w:r w:rsidRPr="00AC4AAD">
      <w:tab/>
    </w:r>
    <w:r w:rsidRPr="00AC4AAD">
      <w:tab/>
      <w:t>від ПОСТАЧАЛЬНИКА___________________</w:t>
    </w:r>
  </w:p>
  <w:p w:rsidR="00BD565A" w:rsidRPr="00AC4AAD" w:rsidRDefault="00BD565A" w:rsidP="00BD565A">
    <w:pPr>
      <w:tabs>
        <w:tab w:val="left" w:pos="4908"/>
        <w:tab w:val="left" w:pos="6088"/>
      </w:tabs>
      <w:spacing w:line="0" w:lineRule="atLeast"/>
      <w:ind w:left="148"/>
    </w:pPr>
  </w:p>
  <w:p w:rsidR="00BD565A" w:rsidRDefault="00BD565A">
    <w:pPr>
      <w:pStyle w:val="ab"/>
    </w:pPr>
  </w:p>
  <w:p w:rsidR="00BD565A" w:rsidRDefault="00BD565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1E14" w:rsidRDefault="00CF1E14" w:rsidP="00DE24AB">
      <w:pPr>
        <w:pStyle w:val="a3"/>
      </w:pPr>
      <w:r>
        <w:separator/>
      </w:r>
    </w:p>
  </w:footnote>
  <w:footnote w:type="continuationSeparator" w:id="0">
    <w:p w:rsidR="00CF1E14" w:rsidRDefault="00CF1E14" w:rsidP="00DE24AB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5353"/>
    </w:tblGrid>
    <w:tr w:rsidR="00DE24AB" w:rsidTr="00CA2D33">
      <w:trPr>
        <w:trHeight w:val="1425"/>
      </w:trPr>
      <w:tc>
        <w:tcPr>
          <w:tcW w:w="5353" w:type="dxa"/>
        </w:tcPr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</w:rPr>
          </w:pPr>
          <w:r w:rsidRPr="00DE24AB">
            <w:rPr>
              <w:color w:val="000000" w:themeColor="text1"/>
              <w:sz w:val="20"/>
              <w:szCs w:val="20"/>
            </w:rPr>
            <w:t>21100, Україна, м. Вінниця,</w:t>
          </w:r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вул. Хмельницьке шосе, буд. 13, офіс 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409</w:t>
          </w:r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Телефон: 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+380 99 269-35-13</w:t>
          </w:r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  <w:lang w:val="ru-RU"/>
            </w:rPr>
            <w:t>+380 67-665-00-69 (</w:t>
          </w:r>
          <w:proofErr w:type="spellStart"/>
          <w:r w:rsidRPr="00DE24AB">
            <w:rPr>
              <w:color w:val="000000" w:themeColor="text1"/>
              <w:sz w:val="20"/>
              <w:szCs w:val="20"/>
              <w:lang w:val="ru-RU"/>
            </w:rPr>
            <w:t>офіс</w:t>
          </w:r>
          <w:proofErr w:type="spellEnd"/>
          <w:r w:rsidRPr="00DE24AB">
            <w:rPr>
              <w:color w:val="000000" w:themeColor="text1"/>
              <w:sz w:val="20"/>
              <w:szCs w:val="20"/>
              <w:lang w:val="ru-RU"/>
            </w:rPr>
            <w:t>)</w:t>
          </w:r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ru-RU"/>
            </w:rPr>
          </w:pPr>
          <w:r w:rsidRPr="00DE24AB">
            <w:rPr>
              <w:color w:val="000000" w:themeColor="text1"/>
              <w:sz w:val="20"/>
              <w:szCs w:val="20"/>
              <w:lang w:val="en-US"/>
            </w:rPr>
            <w:t>e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>-</w:t>
          </w:r>
          <w:r w:rsidRPr="00DE24AB">
            <w:rPr>
              <w:color w:val="000000" w:themeColor="text1"/>
              <w:sz w:val="20"/>
              <w:szCs w:val="20"/>
              <w:lang w:val="en-US"/>
            </w:rPr>
            <w:t>mail</w:t>
          </w:r>
          <w:r w:rsidRPr="00DE24AB">
            <w:rPr>
              <w:color w:val="000000" w:themeColor="text1"/>
              <w:sz w:val="20"/>
              <w:szCs w:val="20"/>
              <w:lang w:val="ru-RU"/>
            </w:rPr>
            <w:t xml:space="preserve">:  </w:t>
          </w:r>
          <w:hyperlink r:id="rId1" w:history="1">
            <w:r w:rsidRPr="00DE24AB">
              <w:rPr>
                <w:rStyle w:val="a5"/>
                <w:color w:val="000000" w:themeColor="text1"/>
                <w:sz w:val="20"/>
                <w:szCs w:val="20"/>
                <w:u w:val="none"/>
                <w:lang w:val="en-US"/>
              </w:rPr>
              <w:t>info</w:t>
            </w:r>
            <w:r w:rsidRPr="00DE24AB">
              <w:rPr>
                <w:rStyle w:val="a5"/>
                <w:color w:val="000000" w:themeColor="text1"/>
                <w:sz w:val="20"/>
                <w:szCs w:val="20"/>
                <w:u w:val="none"/>
                <w:lang w:val="ru-RU"/>
              </w:rPr>
              <w:t>@</w:t>
            </w:r>
            <w:proofErr w:type="spellStart"/>
            <w:r w:rsidRPr="00DE24AB">
              <w:rPr>
                <w:rStyle w:val="a5"/>
                <w:color w:val="000000" w:themeColor="text1"/>
                <w:sz w:val="20"/>
                <w:szCs w:val="20"/>
                <w:u w:val="none"/>
                <w:lang w:val="en-US"/>
              </w:rPr>
              <w:t>vitonrg</w:t>
            </w:r>
            <w:proofErr w:type="spellEnd"/>
            <w:r w:rsidRPr="00DE24AB">
              <w:rPr>
                <w:rStyle w:val="a5"/>
                <w:color w:val="000000" w:themeColor="text1"/>
                <w:sz w:val="20"/>
                <w:szCs w:val="20"/>
                <w:u w:val="none"/>
                <w:lang w:val="ru-RU"/>
              </w:rPr>
              <w:t>.</w:t>
            </w:r>
            <w:r w:rsidRPr="00DE24AB">
              <w:rPr>
                <w:rStyle w:val="a5"/>
                <w:color w:val="000000" w:themeColor="text1"/>
                <w:sz w:val="20"/>
                <w:szCs w:val="20"/>
                <w:u w:val="none"/>
                <w:lang w:val="en-US"/>
              </w:rPr>
              <w:t>com</w:t>
            </w:r>
          </w:hyperlink>
        </w:p>
        <w:p w:rsidR="00DE24AB" w:rsidRPr="00DE24AB" w:rsidRDefault="00DE24AB" w:rsidP="00DE24AB">
          <w:pPr>
            <w:rPr>
              <w:color w:val="000000" w:themeColor="text1"/>
              <w:sz w:val="20"/>
              <w:szCs w:val="20"/>
              <w:lang w:val="en-US"/>
            </w:rPr>
          </w:pPr>
          <w:r w:rsidRPr="00DE24AB">
            <w:rPr>
              <w:color w:val="000000" w:themeColor="text1"/>
              <w:sz w:val="20"/>
              <w:szCs w:val="20"/>
            </w:rPr>
            <w:t xml:space="preserve"> </w:t>
          </w:r>
          <w:r w:rsidRPr="00DE24AB">
            <w:rPr>
              <w:color w:val="000000" w:themeColor="text1"/>
              <w:sz w:val="20"/>
              <w:szCs w:val="20"/>
              <w:lang w:val="en-US"/>
            </w:rPr>
            <w:t>web:     www.vitonrg.com</w:t>
          </w:r>
        </w:p>
        <w:p w:rsidR="00DE24AB" w:rsidRDefault="00DE24AB" w:rsidP="00DE24AB">
          <w:pPr>
            <w:rPr>
              <w:color w:val="000000" w:themeColor="text1"/>
              <w:sz w:val="20"/>
              <w:szCs w:val="20"/>
            </w:rPr>
          </w:pPr>
        </w:p>
      </w:tc>
      <w:tc>
        <w:tcPr>
          <w:tcW w:w="5353" w:type="dxa"/>
        </w:tcPr>
        <w:p w:rsidR="00DE24AB" w:rsidRDefault="00DE24AB" w:rsidP="00DE24AB">
          <w:pPr>
            <w:rPr>
              <w:color w:val="000000" w:themeColor="text1"/>
              <w:sz w:val="20"/>
              <w:szCs w:val="20"/>
            </w:rPr>
          </w:pPr>
          <w:r w:rsidRPr="00DE24AB">
            <w:rPr>
              <w:noProof/>
              <w:color w:val="000000" w:themeColor="text1"/>
              <w:sz w:val="20"/>
              <w:szCs w:val="20"/>
              <w:lang w:val="ru-RU" w:eastAsia="ru-RU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-209550</wp:posOffset>
                </wp:positionV>
                <wp:extent cx="2524125" cy="1181100"/>
                <wp:effectExtent l="19050" t="0" r="9525" b="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181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DE24AB" w:rsidRDefault="00CF1E14" w:rsidP="00DE24AB">
    <w:pPr>
      <w:rPr>
        <w:color w:val="000000" w:themeColor="text1"/>
        <w:sz w:val="20"/>
        <w:szCs w:val="20"/>
      </w:rPr>
    </w:pPr>
    <w:r>
      <w:rPr>
        <w:noProof/>
        <w:lang w:val="ru-RU" w:eastAsia="ru-RU" w:bidi="ar-SA"/>
      </w:rPr>
      <w:pict>
        <v:rect id="Rectangle 8" o:spid="_x0000_s2050" style="position:absolute;margin-left:-47pt;margin-top:9.65pt;width:592.55pt;height:2.8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" fillcolor="#3c3" stroked="f"/>
      </w:pict>
    </w:r>
    <w:r>
      <w:rPr>
        <w:noProof/>
        <w:color w:val="000000" w:themeColor="text1"/>
        <w:sz w:val="20"/>
        <w:szCs w:val="20"/>
        <w:lang w:val="ru-RU" w:eastAsia="ru-RU" w:bidi="ar-SA"/>
      </w:rPr>
      <w:pict>
        <v:rect id="Rectangle 6" o:spid="_x0000_s2049" style="position:absolute;margin-left:-43.15pt;margin-top:5pt;width:592.55pt;height:2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" fillcolor="#3c3" stroked="f"/>
      </w:pict>
    </w:r>
  </w:p>
  <w:p w:rsidR="00DE24AB" w:rsidRDefault="00DE24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0B3D"/>
    <w:multiLevelType w:val="hybridMultilevel"/>
    <w:tmpl w:val="AF2E1A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496680"/>
    <w:multiLevelType w:val="multilevel"/>
    <w:tmpl w:val="749291A0"/>
    <w:lvl w:ilvl="0">
      <w:start w:val="1"/>
      <w:numFmt w:val="decimal"/>
      <w:lvlText w:val="%1."/>
      <w:lvlJc w:val="left"/>
      <w:pPr>
        <w:ind w:left="334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54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>
      <w:numFmt w:val="bullet"/>
      <w:lvlText w:val="•"/>
      <w:lvlJc w:val="left"/>
      <w:pPr>
        <w:ind w:left="500" w:hanging="428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540" w:hanging="428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960" w:hanging="428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381" w:hanging="428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801" w:hanging="428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222" w:hanging="428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642" w:hanging="428"/>
      </w:pPr>
      <w:rPr>
        <w:rFonts w:hint="default"/>
        <w:lang w:val="uk-UA" w:eastAsia="uk-UA" w:bidi="uk-UA"/>
      </w:rPr>
    </w:lvl>
  </w:abstractNum>
  <w:abstractNum w:abstractNumId="3" w15:restartNumberingAfterBreak="0">
    <w:nsid w:val="6CB34F6E"/>
    <w:multiLevelType w:val="hybridMultilevel"/>
    <w:tmpl w:val="F19ED37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77AD0831"/>
    <w:multiLevelType w:val="hybridMultilevel"/>
    <w:tmpl w:val="4A74C6E0"/>
    <w:lvl w:ilvl="0" w:tplc="185246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140B"/>
    <w:multiLevelType w:val="hybridMultilevel"/>
    <w:tmpl w:val="5588A518"/>
    <w:lvl w:ilvl="0" w:tplc="1852465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>
      <o:colormru v:ext="edit" colors="#3c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939"/>
    <w:rsid w:val="00052ADA"/>
    <w:rsid w:val="000835AE"/>
    <w:rsid w:val="000925A7"/>
    <w:rsid w:val="000C5715"/>
    <w:rsid w:val="00114939"/>
    <w:rsid w:val="001437B7"/>
    <w:rsid w:val="00163183"/>
    <w:rsid w:val="00175B17"/>
    <w:rsid w:val="00177793"/>
    <w:rsid w:val="0018254E"/>
    <w:rsid w:val="001931FD"/>
    <w:rsid w:val="001A4FD3"/>
    <w:rsid w:val="001E41CD"/>
    <w:rsid w:val="0021304B"/>
    <w:rsid w:val="00216176"/>
    <w:rsid w:val="00221FFE"/>
    <w:rsid w:val="00246453"/>
    <w:rsid w:val="00286247"/>
    <w:rsid w:val="002B5AAC"/>
    <w:rsid w:val="002B5C9E"/>
    <w:rsid w:val="002C5451"/>
    <w:rsid w:val="003B3638"/>
    <w:rsid w:val="00415E36"/>
    <w:rsid w:val="00424F70"/>
    <w:rsid w:val="00432A65"/>
    <w:rsid w:val="0044373C"/>
    <w:rsid w:val="00450443"/>
    <w:rsid w:val="0046737B"/>
    <w:rsid w:val="004960EE"/>
    <w:rsid w:val="004F0FA7"/>
    <w:rsid w:val="005236D4"/>
    <w:rsid w:val="005576D2"/>
    <w:rsid w:val="0056324C"/>
    <w:rsid w:val="00592AD9"/>
    <w:rsid w:val="006076AF"/>
    <w:rsid w:val="00607EB5"/>
    <w:rsid w:val="00665267"/>
    <w:rsid w:val="006A7261"/>
    <w:rsid w:val="006D1C86"/>
    <w:rsid w:val="007763B3"/>
    <w:rsid w:val="007C6E36"/>
    <w:rsid w:val="007E6104"/>
    <w:rsid w:val="008212B9"/>
    <w:rsid w:val="00844DE0"/>
    <w:rsid w:val="00867583"/>
    <w:rsid w:val="008E1E57"/>
    <w:rsid w:val="0092377E"/>
    <w:rsid w:val="0099069F"/>
    <w:rsid w:val="009973D1"/>
    <w:rsid w:val="009A40CB"/>
    <w:rsid w:val="009B658A"/>
    <w:rsid w:val="009B7978"/>
    <w:rsid w:val="009E1C2F"/>
    <w:rsid w:val="00A34C9C"/>
    <w:rsid w:val="00A61B55"/>
    <w:rsid w:val="00A80C1E"/>
    <w:rsid w:val="00AB31EC"/>
    <w:rsid w:val="00AC3DF0"/>
    <w:rsid w:val="00AD5E95"/>
    <w:rsid w:val="00AF48F3"/>
    <w:rsid w:val="00AF6774"/>
    <w:rsid w:val="00B02893"/>
    <w:rsid w:val="00B90494"/>
    <w:rsid w:val="00B914C7"/>
    <w:rsid w:val="00BA4FF1"/>
    <w:rsid w:val="00BB5B0B"/>
    <w:rsid w:val="00BD565A"/>
    <w:rsid w:val="00C0692A"/>
    <w:rsid w:val="00C4780D"/>
    <w:rsid w:val="00C6512F"/>
    <w:rsid w:val="00C93739"/>
    <w:rsid w:val="00CA2D33"/>
    <w:rsid w:val="00CA6866"/>
    <w:rsid w:val="00CC518E"/>
    <w:rsid w:val="00CF1E14"/>
    <w:rsid w:val="00CF5B32"/>
    <w:rsid w:val="00D642D9"/>
    <w:rsid w:val="00D817E5"/>
    <w:rsid w:val="00DE1B57"/>
    <w:rsid w:val="00DE24AB"/>
    <w:rsid w:val="00E21DF4"/>
    <w:rsid w:val="00E25ABB"/>
    <w:rsid w:val="00E37D6B"/>
    <w:rsid w:val="00E76C90"/>
    <w:rsid w:val="00E91518"/>
    <w:rsid w:val="00EC02C4"/>
    <w:rsid w:val="00EC7E2A"/>
    <w:rsid w:val="00EE3C02"/>
    <w:rsid w:val="00F255DC"/>
    <w:rsid w:val="00F715ED"/>
    <w:rsid w:val="00F90A47"/>
    <w:rsid w:val="00F92D4A"/>
    <w:rsid w:val="00FA3E77"/>
    <w:rsid w:val="00FA431F"/>
    <w:rsid w:val="00FB358A"/>
    <w:rsid w:val="00FB5CCA"/>
    <w:rsid w:val="00FB76DD"/>
    <w:rsid w:val="00FC7D8D"/>
    <w:rsid w:val="00FE12E0"/>
    <w:rsid w:val="00FE4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3c3"/>
    </o:shapedefaults>
    <o:shapelayout v:ext="edit">
      <o:idmap v:ext="edit" data="1"/>
    </o:shapelayout>
  </w:shapeDefaults>
  <w:decimalSymbol w:val=","/>
  <w:listSeparator w:val=";"/>
  <w14:docId w14:val="43E0C2C0"/>
  <w15:docId w15:val="{D75DA1D3-8C65-4845-BBF6-70378154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1518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E91518"/>
    <w:pPr>
      <w:ind w:left="173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rsid w:val="00E91518"/>
    <w:pPr>
      <w:spacing w:before="120"/>
      <w:ind w:left="334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518"/>
    <w:pPr>
      <w:ind w:left="113"/>
      <w:jc w:val="both"/>
    </w:pPr>
  </w:style>
  <w:style w:type="paragraph" w:styleId="a4">
    <w:name w:val="List Paragraph"/>
    <w:basedOn w:val="a"/>
    <w:uiPriority w:val="1"/>
    <w:qFormat/>
    <w:rsid w:val="00E91518"/>
    <w:pPr>
      <w:ind w:left="113" w:hanging="429"/>
      <w:jc w:val="both"/>
    </w:pPr>
  </w:style>
  <w:style w:type="paragraph" w:customStyle="1" w:styleId="TableParagraph">
    <w:name w:val="Table Paragraph"/>
    <w:basedOn w:val="a"/>
    <w:uiPriority w:val="1"/>
    <w:qFormat/>
    <w:rsid w:val="00E91518"/>
    <w:pPr>
      <w:spacing w:line="222" w:lineRule="exact"/>
      <w:jc w:val="center"/>
    </w:pPr>
  </w:style>
  <w:style w:type="character" w:styleId="a5">
    <w:name w:val="Hyperlink"/>
    <w:basedOn w:val="a0"/>
    <w:uiPriority w:val="99"/>
    <w:unhideWhenUsed/>
    <w:rsid w:val="0066526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7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774"/>
    <w:rPr>
      <w:rFonts w:ascii="Segoe UI" w:eastAsia="Times New Roman" w:hAnsi="Segoe UI" w:cs="Segoe UI"/>
      <w:sz w:val="18"/>
      <w:szCs w:val="18"/>
      <w:lang w:val="uk-UA" w:eastAsia="uk-UA" w:bidi="uk-UA"/>
    </w:rPr>
  </w:style>
  <w:style w:type="table" w:styleId="a8">
    <w:name w:val="Table Grid"/>
    <w:basedOn w:val="a1"/>
    <w:uiPriority w:val="39"/>
    <w:rsid w:val="00DE24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E24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24AB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DE24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24AB"/>
    <w:rPr>
      <w:rFonts w:ascii="Times New Roman" w:eastAsia="Times New Roman" w:hAnsi="Times New Roman" w:cs="Times New Roman"/>
      <w:lang w:val="uk-UA" w:eastAsia="uk-UA" w:bidi="uk-UA"/>
    </w:rPr>
  </w:style>
  <w:style w:type="paragraph" w:styleId="ad">
    <w:name w:val="No Spacing"/>
    <w:uiPriority w:val="1"/>
    <w:qFormat/>
    <w:rsid w:val="00052ADA"/>
    <w:pPr>
      <w:widowControl/>
      <w:autoSpaceDE/>
      <w:autoSpaceDN/>
    </w:pPr>
    <w:rPr>
      <w:rFonts w:ascii="Calibri" w:eastAsia="Calibri" w:hAnsi="Calibri" w:cs="Times New Roman"/>
      <w:lang w:val="uk-UA"/>
    </w:rPr>
  </w:style>
  <w:style w:type="table" w:styleId="2-3">
    <w:name w:val="Medium List 2 Accent 3"/>
    <w:basedOn w:val="a1"/>
    <w:uiPriority w:val="66"/>
    <w:semiHidden/>
    <w:unhideWhenUsed/>
    <w:rsid w:val="00052ADA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toenergy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vitonr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Товариство з обмеженою відповідальністю</vt:lpstr>
    </vt:vector>
  </TitlesOfParts>
  <Company>Microsoft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Товариство з обмеженою відповідальністю</dc:title>
  <dc:creator>KurmazA</dc:creator>
  <cp:lastModifiedBy>12</cp:lastModifiedBy>
  <cp:revision>10</cp:revision>
  <cp:lastPrinted>2020-03-10T15:24:00Z</cp:lastPrinted>
  <dcterms:created xsi:type="dcterms:W3CDTF">2020-04-01T13:40:00Z</dcterms:created>
  <dcterms:modified xsi:type="dcterms:W3CDTF">2025-12-29T16:45:00Z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2019-10-04T00:00:00Z</vt:filetime>
  </property>
</Properties>
</file>